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27" w:type="dxa"/>
        <w:jc w:val="center"/>
        <w:tblLayout w:type="autofit"/>
        <w:tblCellMar>
          <w:top w:w="0" w:type="dxa"/>
          <w:left w:w="108" w:type="dxa"/>
          <w:bottom w:w="0" w:type="dxa"/>
          <w:right w:w="108" w:type="dxa"/>
        </w:tblCellMar>
      </w:tblPr>
      <w:tblGrid>
        <w:gridCol w:w="820"/>
        <w:gridCol w:w="1420"/>
        <w:gridCol w:w="1660"/>
        <w:gridCol w:w="4140"/>
        <w:gridCol w:w="5487"/>
      </w:tblGrid>
      <w:tr>
        <w:tblPrEx>
          <w:tblCellMar>
            <w:top w:w="0" w:type="dxa"/>
            <w:left w:w="108" w:type="dxa"/>
            <w:bottom w:w="0" w:type="dxa"/>
            <w:right w:w="108" w:type="dxa"/>
          </w:tblCellMar>
        </w:tblPrEx>
        <w:trPr>
          <w:trHeight w:val="405" w:hRule="atLeast"/>
          <w:jc w:val="center"/>
        </w:trPr>
        <w:tc>
          <w:tcPr>
            <w:tcW w:w="13527"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32"/>
                <w:szCs w:val="32"/>
              </w:rPr>
            </w:pPr>
            <w:bookmarkStart w:id="0" w:name="RANGE!A1:F12"/>
            <w:r>
              <w:rPr>
                <w:rFonts w:hint="eastAsia" w:ascii="黑体" w:hAnsi="黑体" w:eastAsia="黑体" w:cs="宋体"/>
                <w:kern w:val="0"/>
                <w:sz w:val="32"/>
                <w:szCs w:val="32"/>
              </w:rPr>
              <w:t>附件</w:t>
            </w:r>
            <w:bookmarkEnd w:id="0"/>
          </w:p>
        </w:tc>
      </w:tr>
      <w:tr>
        <w:tblPrEx>
          <w:tblCellMar>
            <w:top w:w="0" w:type="dxa"/>
            <w:left w:w="108" w:type="dxa"/>
            <w:bottom w:w="0" w:type="dxa"/>
            <w:right w:w="108" w:type="dxa"/>
          </w:tblCellMar>
        </w:tblPrEx>
        <w:trPr>
          <w:trHeight w:val="630" w:hRule="atLeast"/>
          <w:jc w:val="center"/>
        </w:trPr>
        <w:tc>
          <w:tcPr>
            <w:tcW w:w="13527" w:type="dxa"/>
            <w:gridSpan w:val="5"/>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4"/>
                <w:szCs w:val="44"/>
              </w:rPr>
            </w:pPr>
            <w:bookmarkStart w:id="1" w:name="_GoBack"/>
            <w:r>
              <w:rPr>
                <w:rFonts w:hint="eastAsia" w:ascii="方正小标宋简体" w:hAnsi="宋体" w:eastAsia="方正小标宋简体" w:cs="宋体"/>
                <w:kern w:val="0"/>
                <w:sz w:val="44"/>
                <w:szCs w:val="44"/>
              </w:rPr>
              <w:t>费县“一业一证”改革试点行业目录</w:t>
            </w:r>
            <w:bookmarkEnd w:id="1"/>
          </w:p>
        </w:tc>
      </w:tr>
      <w:tr>
        <w:tblPrEx>
          <w:tblCellMar>
            <w:top w:w="0" w:type="dxa"/>
            <w:left w:w="108" w:type="dxa"/>
            <w:bottom w:w="0" w:type="dxa"/>
            <w:right w:w="108" w:type="dxa"/>
          </w:tblCellMar>
        </w:tblPrEx>
        <w:trPr>
          <w:trHeight w:val="582" w:hRule="atLeast"/>
          <w:jc w:val="center"/>
        </w:trPr>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试点主体</w:t>
            </w:r>
          </w:p>
        </w:tc>
        <w:tc>
          <w:tcPr>
            <w:tcW w:w="166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行业类别</w:t>
            </w:r>
          </w:p>
        </w:tc>
        <w:tc>
          <w:tcPr>
            <w:tcW w:w="962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涉及的许可事项</w:t>
            </w:r>
          </w:p>
        </w:tc>
      </w:tr>
      <w:tr>
        <w:tblPrEx>
          <w:tblCellMar>
            <w:top w:w="0" w:type="dxa"/>
            <w:left w:w="108" w:type="dxa"/>
            <w:bottom w:w="0" w:type="dxa"/>
            <w:right w:w="108" w:type="dxa"/>
          </w:tblCellMar>
        </w:tblPrEx>
        <w:trPr>
          <w:trHeight w:val="582" w:hRule="atLeast"/>
          <w:jc w:val="center"/>
        </w:trPr>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16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4140"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涉及许可事项</w:t>
            </w:r>
          </w:p>
        </w:tc>
        <w:tc>
          <w:tcPr>
            <w:tcW w:w="5487" w:type="dxa"/>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设定依据</w:t>
            </w:r>
          </w:p>
        </w:tc>
      </w:tr>
      <w:tr>
        <w:tblPrEx>
          <w:tblCellMar>
            <w:top w:w="0" w:type="dxa"/>
            <w:left w:w="108" w:type="dxa"/>
            <w:bottom w:w="0" w:type="dxa"/>
            <w:right w:w="108" w:type="dxa"/>
          </w:tblCellMar>
        </w:tblPrEx>
        <w:trPr>
          <w:trHeight w:val="600" w:hRule="atLeast"/>
          <w:jc w:val="center"/>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餐饮店（饭店）</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餐饮业</w:t>
            </w:r>
          </w:p>
        </w:tc>
        <w:tc>
          <w:tcPr>
            <w:tcW w:w="41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食品经营许可                             公众聚集场所投入使用、营业前消防安全检查</w:t>
            </w:r>
          </w:p>
        </w:tc>
        <w:tc>
          <w:tcPr>
            <w:tcW w:w="548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《中华人民共和国食品安全法》第三十五条</w:t>
            </w:r>
            <w:r>
              <w:rPr>
                <w:rFonts w:hint="eastAsia" w:ascii="宋体" w:hAnsi="宋体" w:cs="宋体"/>
                <w:kern w:val="0"/>
                <w:sz w:val="20"/>
                <w:szCs w:val="20"/>
              </w:rPr>
              <w:br w:type="textWrapping"/>
            </w:r>
            <w:r>
              <w:rPr>
                <w:rFonts w:hint="eastAsia" w:ascii="宋体" w:hAnsi="宋体" w:cs="宋体"/>
                <w:kern w:val="0"/>
                <w:sz w:val="20"/>
                <w:szCs w:val="20"/>
              </w:rPr>
              <w:t>《中华人民共和国消防法》第十五条　</w:t>
            </w:r>
          </w:p>
        </w:tc>
      </w:tr>
      <w:tr>
        <w:tblPrEx>
          <w:tblCellMar>
            <w:top w:w="0" w:type="dxa"/>
            <w:left w:w="108" w:type="dxa"/>
            <w:bottom w:w="0" w:type="dxa"/>
            <w:right w:w="108" w:type="dxa"/>
          </w:tblCellMar>
        </w:tblPrEx>
        <w:trPr>
          <w:trHeight w:val="2059" w:hRule="atLeast"/>
          <w:jc w:val="center"/>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便利店(超市)</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便利店零售</w:t>
            </w:r>
          </w:p>
        </w:tc>
        <w:tc>
          <w:tcPr>
            <w:tcW w:w="41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食品经营许可                                     第二类医疗器械经营备案                          公共场所卫生许可                                公众聚集场所投入使用、营业前消防安全检查                                               出版物零售单位设立、变更审批</w:t>
            </w:r>
          </w:p>
        </w:tc>
        <w:tc>
          <w:tcPr>
            <w:tcW w:w="548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《中华人民共和国食品安全法》第三十五条</w:t>
            </w:r>
            <w:r>
              <w:rPr>
                <w:rFonts w:hint="eastAsia" w:ascii="宋体" w:hAnsi="宋体" w:cs="宋体"/>
                <w:kern w:val="0"/>
                <w:sz w:val="20"/>
                <w:szCs w:val="20"/>
              </w:rPr>
              <w:br w:type="textWrapping"/>
            </w:r>
            <w:r>
              <w:rPr>
                <w:rFonts w:hint="eastAsia" w:ascii="宋体" w:hAnsi="宋体" w:cs="宋体"/>
                <w:kern w:val="0"/>
                <w:sz w:val="20"/>
                <w:szCs w:val="20"/>
              </w:rPr>
              <w:t>《医疗器械监督管理条例》第三十条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《公共场所卫生管理条例》第四条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《公共场所卫生管理条例实施细则》第二十二条</w:t>
            </w:r>
            <w:r>
              <w:rPr>
                <w:rFonts w:hint="eastAsia" w:ascii="宋体" w:hAnsi="宋体" w:cs="宋体"/>
                <w:kern w:val="0"/>
                <w:sz w:val="20"/>
                <w:szCs w:val="20"/>
              </w:rPr>
              <w:br w:type="textWrapping"/>
            </w:r>
            <w:r>
              <w:rPr>
                <w:rFonts w:hint="eastAsia" w:ascii="宋体" w:hAnsi="宋体" w:cs="宋体"/>
                <w:kern w:val="0"/>
                <w:sz w:val="20"/>
                <w:szCs w:val="20"/>
              </w:rPr>
              <w:t>《国务院关于整合调整餐饮服务场所的公共场所卫生许可证和食品经营许可证的决定》</w:t>
            </w:r>
            <w:r>
              <w:rPr>
                <w:rFonts w:hint="eastAsia" w:ascii="宋体" w:hAnsi="宋体" w:cs="宋体"/>
                <w:kern w:val="0"/>
                <w:sz w:val="20"/>
                <w:szCs w:val="20"/>
              </w:rPr>
              <w:br w:type="textWrapping"/>
            </w:r>
            <w:r>
              <w:rPr>
                <w:rFonts w:hint="eastAsia" w:ascii="宋体" w:hAnsi="宋体" w:cs="宋体"/>
                <w:kern w:val="0"/>
                <w:sz w:val="20"/>
                <w:szCs w:val="20"/>
              </w:rPr>
              <w:t>《中华人民共和国消防法》第十五条                                  《出版管理条例》第十二条　</w:t>
            </w:r>
          </w:p>
        </w:tc>
      </w:tr>
      <w:tr>
        <w:tblPrEx>
          <w:tblCellMar>
            <w:top w:w="0" w:type="dxa"/>
            <w:left w:w="108" w:type="dxa"/>
            <w:bottom w:w="0" w:type="dxa"/>
            <w:right w:w="108" w:type="dxa"/>
          </w:tblCellMar>
        </w:tblPrEx>
        <w:trPr>
          <w:trHeight w:val="54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烘焙店</w:t>
            </w:r>
          </w:p>
          <w:p>
            <w:pPr>
              <w:widowControl/>
              <w:jc w:val="center"/>
              <w:rPr>
                <w:rFonts w:ascii="宋体" w:hAnsi="宋体" w:cs="宋体"/>
                <w:kern w:val="0"/>
                <w:sz w:val="20"/>
                <w:szCs w:val="20"/>
              </w:rPr>
            </w:pPr>
            <w:r>
              <w:rPr>
                <w:rFonts w:hint="eastAsia" w:ascii="宋体" w:hAnsi="宋体" w:cs="宋体"/>
                <w:kern w:val="0"/>
                <w:sz w:val="20"/>
                <w:szCs w:val="20"/>
              </w:rPr>
              <w:t>（面包店）</w:t>
            </w:r>
          </w:p>
        </w:tc>
        <w:tc>
          <w:tcPr>
            <w:tcW w:w="16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糕点、面包零售</w:t>
            </w:r>
          </w:p>
        </w:tc>
        <w:tc>
          <w:tcPr>
            <w:tcW w:w="414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食品经营许可                                   公众聚集场所投入使用、营业前消防安全检查</w:t>
            </w:r>
          </w:p>
        </w:tc>
        <w:tc>
          <w:tcPr>
            <w:tcW w:w="548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《中华人民共和国食品安全法》第三十五条</w:t>
            </w:r>
            <w:r>
              <w:rPr>
                <w:rFonts w:hint="eastAsia" w:ascii="宋体" w:hAnsi="宋体" w:cs="宋体"/>
                <w:kern w:val="0"/>
                <w:sz w:val="20"/>
                <w:szCs w:val="20"/>
              </w:rPr>
              <w:br w:type="textWrapping"/>
            </w:r>
            <w:r>
              <w:rPr>
                <w:rFonts w:hint="eastAsia" w:ascii="宋体" w:hAnsi="宋体" w:cs="宋体"/>
                <w:kern w:val="0"/>
                <w:sz w:val="20"/>
                <w:szCs w:val="20"/>
              </w:rPr>
              <w:t>《中华人民共和国消防法》第十五条　</w:t>
            </w:r>
          </w:p>
        </w:tc>
      </w:tr>
      <w:tr>
        <w:tblPrEx>
          <w:tblCellMar>
            <w:top w:w="0" w:type="dxa"/>
            <w:left w:w="108" w:type="dxa"/>
            <w:bottom w:w="0" w:type="dxa"/>
            <w:right w:w="108" w:type="dxa"/>
          </w:tblCellMar>
        </w:tblPrEx>
        <w:trPr>
          <w:trHeight w:val="156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药店</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医药及医疗器材专门零售</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药品经营许可                                     第二类医疗器械经营备案                         第三类医疗器械经营许可                           </w:t>
            </w:r>
            <w:r>
              <w:rPr>
                <w:rFonts w:hint="eastAsia" w:ascii="宋体" w:hAnsi="宋体" w:cs="宋体"/>
                <w:kern w:val="0"/>
                <w:sz w:val="20"/>
                <w:szCs w:val="20"/>
              </w:rPr>
              <w:br w:type="textWrapping"/>
            </w:r>
            <w:r>
              <w:rPr>
                <w:rFonts w:hint="eastAsia" w:ascii="宋体" w:hAnsi="宋体" w:cs="宋体"/>
                <w:kern w:val="0"/>
                <w:sz w:val="20"/>
                <w:szCs w:val="20"/>
              </w:rPr>
              <w:t>医疗器械网络销售备案</w:t>
            </w:r>
            <w:r>
              <w:rPr>
                <w:rFonts w:hint="eastAsia" w:ascii="宋体" w:hAnsi="宋体" w:cs="宋体"/>
                <w:kern w:val="0"/>
                <w:sz w:val="20"/>
                <w:szCs w:val="20"/>
              </w:rPr>
              <w:br w:type="textWrapping"/>
            </w:r>
            <w:r>
              <w:rPr>
                <w:rFonts w:hint="eastAsia" w:ascii="宋体" w:hAnsi="宋体" w:cs="宋体"/>
                <w:kern w:val="0"/>
                <w:sz w:val="20"/>
                <w:szCs w:val="20"/>
              </w:rPr>
              <w:t>食品经营许可                                       公众聚集场所投入使用、营业前消防安全检查</w:t>
            </w:r>
          </w:p>
        </w:tc>
        <w:tc>
          <w:tcPr>
            <w:tcW w:w="5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《药品管理法实施条例》第十二条</w:t>
            </w:r>
            <w:r>
              <w:rPr>
                <w:rFonts w:hint="eastAsia" w:ascii="宋体" w:hAnsi="宋体" w:cs="宋体"/>
                <w:kern w:val="0"/>
                <w:sz w:val="20"/>
                <w:szCs w:val="20"/>
              </w:rPr>
              <w:br w:type="textWrapping"/>
            </w:r>
            <w:r>
              <w:rPr>
                <w:rFonts w:hint="eastAsia" w:ascii="宋体" w:hAnsi="宋体" w:cs="宋体"/>
                <w:kern w:val="0"/>
                <w:sz w:val="20"/>
                <w:szCs w:val="20"/>
              </w:rPr>
              <w:t>《药品经营许可证管理办法》第九条、第十二条</w:t>
            </w:r>
            <w:r>
              <w:rPr>
                <w:rFonts w:hint="eastAsia" w:ascii="宋体" w:hAnsi="宋体" w:cs="宋体"/>
                <w:kern w:val="0"/>
                <w:sz w:val="20"/>
                <w:szCs w:val="20"/>
              </w:rPr>
              <w:br w:type="textWrapping"/>
            </w:r>
            <w:r>
              <w:rPr>
                <w:rFonts w:hint="eastAsia" w:ascii="宋体" w:hAnsi="宋体" w:cs="宋体"/>
                <w:kern w:val="0"/>
                <w:sz w:val="20"/>
                <w:szCs w:val="20"/>
              </w:rPr>
              <w:t>《医疗器械监督管理条例》第三十一条</w:t>
            </w:r>
            <w:r>
              <w:rPr>
                <w:rFonts w:hint="eastAsia" w:ascii="宋体" w:hAnsi="宋体" w:cs="宋体"/>
                <w:kern w:val="0"/>
                <w:sz w:val="20"/>
                <w:szCs w:val="20"/>
              </w:rPr>
              <w:br w:type="textWrapping"/>
            </w:r>
            <w:r>
              <w:rPr>
                <w:rFonts w:hint="eastAsia" w:ascii="宋体" w:hAnsi="宋体" w:cs="宋体"/>
                <w:kern w:val="0"/>
                <w:sz w:val="20"/>
                <w:szCs w:val="20"/>
              </w:rPr>
              <w:t>《医疗器械经营监督管理办法》第八条、第十七条第一款、第十九条、第二十二条第一款</w:t>
            </w:r>
            <w:r>
              <w:rPr>
                <w:rFonts w:hint="eastAsia" w:ascii="宋体" w:hAnsi="宋体" w:cs="宋体"/>
                <w:kern w:val="0"/>
                <w:sz w:val="20"/>
                <w:szCs w:val="20"/>
              </w:rPr>
              <w:br w:type="textWrapping"/>
            </w:r>
            <w:r>
              <w:rPr>
                <w:rFonts w:hint="eastAsia" w:ascii="宋体" w:hAnsi="宋体" w:cs="宋体"/>
                <w:kern w:val="0"/>
                <w:sz w:val="20"/>
                <w:szCs w:val="20"/>
              </w:rPr>
              <w:t>《中华人民共和国消防法》第十五条　</w:t>
            </w:r>
          </w:p>
        </w:tc>
      </w:tr>
      <w:tr>
        <w:tblPrEx>
          <w:tblCellMar>
            <w:top w:w="0" w:type="dxa"/>
            <w:left w:w="108" w:type="dxa"/>
            <w:bottom w:w="0" w:type="dxa"/>
            <w:right w:w="108" w:type="dxa"/>
          </w:tblCellMar>
        </w:tblPrEx>
        <w:trPr>
          <w:trHeight w:val="1782"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书店</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图书、报刊零售</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出版物零售单位设立变更审批                    食品经营许可                                     公众聚集场所投入使用、营业前消防安全检查                                              公共场所卫生许可</w:t>
            </w:r>
          </w:p>
        </w:tc>
        <w:tc>
          <w:tcPr>
            <w:tcW w:w="5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《出版管理条例》第三十五条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《公共场所卫生管理条例》第四条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《公共场所卫生管理条例实施细则》第二十二条</w:t>
            </w:r>
            <w:r>
              <w:rPr>
                <w:rFonts w:hint="eastAsia" w:ascii="宋体" w:hAnsi="宋体" w:cs="宋体"/>
                <w:kern w:val="0"/>
                <w:sz w:val="20"/>
                <w:szCs w:val="20"/>
              </w:rPr>
              <w:br w:type="textWrapping"/>
            </w:r>
            <w:r>
              <w:rPr>
                <w:rFonts w:hint="eastAsia" w:ascii="宋体" w:hAnsi="宋体" w:cs="宋体"/>
                <w:kern w:val="0"/>
                <w:sz w:val="20"/>
                <w:szCs w:val="20"/>
              </w:rPr>
              <w:t>《国务院关于整合调整餐饮服务场所的公共场所卫生许可证和食品经营许可证的决定》</w:t>
            </w:r>
            <w:r>
              <w:rPr>
                <w:rFonts w:hint="eastAsia" w:ascii="宋体" w:hAnsi="宋体" w:cs="宋体"/>
                <w:kern w:val="0"/>
                <w:sz w:val="20"/>
                <w:szCs w:val="20"/>
              </w:rPr>
              <w:br w:type="textWrapping"/>
            </w:r>
            <w:r>
              <w:rPr>
                <w:rFonts w:hint="eastAsia" w:ascii="宋体" w:hAnsi="宋体" w:cs="宋体"/>
                <w:kern w:val="0"/>
                <w:sz w:val="20"/>
                <w:szCs w:val="20"/>
              </w:rPr>
              <w:t>《中华人民共和国消防法》第十五条</w:t>
            </w:r>
            <w:r>
              <w:rPr>
                <w:rFonts w:hint="eastAsia" w:ascii="宋体" w:hAnsi="宋体" w:cs="宋体"/>
                <w:kern w:val="0"/>
                <w:sz w:val="20"/>
                <w:szCs w:val="20"/>
              </w:rPr>
              <w:br w:type="textWrapping"/>
            </w:r>
            <w:r>
              <w:rPr>
                <w:rFonts w:hint="eastAsia" w:ascii="宋体" w:hAnsi="宋体" w:cs="宋体"/>
                <w:kern w:val="0"/>
                <w:sz w:val="20"/>
                <w:szCs w:val="20"/>
              </w:rPr>
              <w:t>《中华人民共和国食品安全法》第三十五条　</w:t>
            </w:r>
          </w:p>
        </w:tc>
      </w:tr>
      <w:tr>
        <w:tblPrEx>
          <w:tblCellMar>
            <w:top w:w="0" w:type="dxa"/>
            <w:left w:w="108" w:type="dxa"/>
            <w:bottom w:w="0" w:type="dxa"/>
            <w:right w:w="108" w:type="dxa"/>
          </w:tblCellMar>
        </w:tblPrEx>
        <w:trPr>
          <w:trHeight w:val="2022"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旅馆（宾馆）</w:t>
            </w:r>
          </w:p>
        </w:tc>
        <w:tc>
          <w:tcPr>
            <w:tcW w:w="16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旅馆业</w:t>
            </w:r>
          </w:p>
        </w:tc>
        <w:tc>
          <w:tcPr>
            <w:tcW w:w="414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公共场所卫生许可                                    旅馆业特种行业许可证核发                        食品经营许可                                      公众聚集场所投入使用、营业前消防安全检查                                              第二类医疗器械经营备案</w:t>
            </w:r>
          </w:p>
        </w:tc>
        <w:tc>
          <w:tcPr>
            <w:tcW w:w="548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《公共场所卫生管理条例》第四条</w:t>
            </w:r>
            <w:r>
              <w:rPr>
                <w:rFonts w:hint="eastAsia" w:ascii="宋体" w:hAnsi="宋体" w:cs="宋体"/>
                <w:kern w:val="0"/>
                <w:sz w:val="20"/>
                <w:szCs w:val="20"/>
              </w:rPr>
              <w:br w:type="page"/>
            </w:r>
          </w:p>
          <w:p>
            <w:pPr>
              <w:widowControl/>
              <w:jc w:val="left"/>
              <w:rPr>
                <w:rFonts w:hint="eastAsia" w:ascii="宋体" w:hAnsi="宋体" w:cs="宋体"/>
                <w:kern w:val="0"/>
                <w:sz w:val="20"/>
                <w:szCs w:val="20"/>
              </w:rPr>
            </w:pPr>
            <w:r>
              <w:rPr>
                <w:rFonts w:hint="eastAsia" w:ascii="宋体" w:hAnsi="宋体" w:cs="宋体"/>
                <w:kern w:val="0"/>
                <w:sz w:val="20"/>
                <w:szCs w:val="20"/>
              </w:rPr>
              <w:t>《公共场所卫生管理条例实施细则》第二十二条</w:t>
            </w:r>
            <w:r>
              <w:rPr>
                <w:rFonts w:hint="eastAsia" w:ascii="宋体" w:hAnsi="宋体" w:cs="宋体"/>
                <w:kern w:val="0"/>
                <w:sz w:val="20"/>
                <w:szCs w:val="20"/>
              </w:rPr>
              <w:br w:type="page"/>
            </w:r>
          </w:p>
          <w:p>
            <w:pPr>
              <w:widowControl/>
              <w:jc w:val="left"/>
              <w:rPr>
                <w:rFonts w:hint="eastAsia" w:ascii="宋体" w:hAnsi="宋体" w:cs="宋体"/>
                <w:kern w:val="0"/>
                <w:sz w:val="20"/>
                <w:szCs w:val="20"/>
              </w:rPr>
            </w:pPr>
            <w:r>
              <w:rPr>
                <w:rFonts w:hint="eastAsia" w:ascii="宋体" w:hAnsi="宋体" w:cs="宋体"/>
                <w:kern w:val="0"/>
                <w:sz w:val="20"/>
                <w:szCs w:val="20"/>
              </w:rPr>
              <w:t>《国务院关于整合调整餐饮服务场所的公共场所卫生许可证和食品经营许可证的决定》</w:t>
            </w:r>
          </w:p>
          <w:p>
            <w:pPr>
              <w:widowControl/>
              <w:jc w:val="left"/>
              <w:rPr>
                <w:rFonts w:hint="eastAsia" w:ascii="宋体" w:hAns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《中华人民共和国食品安全法》第三十五条</w:t>
            </w:r>
          </w:p>
          <w:p>
            <w:pPr>
              <w:widowControl/>
              <w:jc w:val="left"/>
              <w:rPr>
                <w:rFonts w:hint="eastAsia" w:ascii="宋体" w:hAns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《中华人民共和国消防法》第十五条</w:t>
            </w:r>
          </w:p>
          <w:p>
            <w:pPr>
              <w:widowControl/>
              <w:jc w:val="left"/>
              <w:rPr>
                <w:rFonts w:hint="eastAsia" w:ascii="宋体" w:hAnsi="宋体" w:cs="宋体"/>
                <w:kern w:val="0"/>
                <w:sz w:val="20"/>
                <w:szCs w:val="20"/>
              </w:rPr>
            </w:pPr>
            <w:r>
              <w:rPr>
                <w:rFonts w:hint="eastAsia" w:ascii="宋体" w:hAnsi="宋体" w:cs="宋体"/>
                <w:kern w:val="0"/>
                <w:sz w:val="20"/>
                <w:szCs w:val="20"/>
              </w:rPr>
              <w:br w:type="page"/>
            </w:r>
            <w:r>
              <w:rPr>
                <w:rFonts w:hint="eastAsia" w:ascii="宋体" w:hAnsi="宋体" w:cs="宋体"/>
                <w:kern w:val="0"/>
                <w:sz w:val="20"/>
                <w:szCs w:val="20"/>
              </w:rPr>
              <w:t>《医疗器械监督管理条例》第三十条</w:t>
            </w:r>
            <w:r>
              <w:rPr>
                <w:rFonts w:hint="eastAsia" w:ascii="宋体" w:hAnsi="宋体" w:cs="宋体"/>
                <w:kern w:val="0"/>
                <w:sz w:val="20"/>
                <w:szCs w:val="20"/>
              </w:rPr>
              <w:br w:type="page"/>
            </w:r>
          </w:p>
          <w:p>
            <w:pPr>
              <w:widowControl/>
              <w:jc w:val="left"/>
              <w:rPr>
                <w:rFonts w:ascii="宋体" w:hAnsi="宋体" w:cs="宋体"/>
                <w:kern w:val="0"/>
                <w:sz w:val="20"/>
                <w:szCs w:val="20"/>
              </w:rPr>
            </w:pPr>
            <w:r>
              <w:rPr>
                <w:rFonts w:hint="eastAsia" w:ascii="宋体" w:hAnsi="宋体" w:cs="宋体"/>
                <w:kern w:val="0"/>
                <w:sz w:val="20"/>
                <w:szCs w:val="20"/>
              </w:rPr>
              <w:t>《旅馆业治安管理办法》  　</w:t>
            </w:r>
          </w:p>
        </w:tc>
      </w:tr>
      <w:tr>
        <w:tblPrEx>
          <w:tblCellMar>
            <w:top w:w="0" w:type="dxa"/>
            <w:left w:w="108" w:type="dxa"/>
            <w:bottom w:w="0" w:type="dxa"/>
            <w:right w:w="108" w:type="dxa"/>
          </w:tblCellMar>
        </w:tblPrEx>
        <w:trPr>
          <w:trHeight w:val="1020" w:hRule="atLeast"/>
          <w:jc w:val="center"/>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母婴用品店</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营养和保健品零售</w:t>
            </w:r>
          </w:p>
        </w:tc>
        <w:tc>
          <w:tcPr>
            <w:tcW w:w="41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食品经营许可                                     第二类医疗器械经营备案                            公众聚集场所投入使用、营业前消防安全检查                                                 出版物零售单位设立、变更审批</w:t>
            </w:r>
          </w:p>
        </w:tc>
        <w:tc>
          <w:tcPr>
            <w:tcW w:w="5487"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《医疗器械监督管理条例》第三十条</w:t>
            </w:r>
            <w:r>
              <w:rPr>
                <w:rFonts w:hint="eastAsia" w:ascii="宋体" w:hAnsi="宋体" w:cs="宋体"/>
                <w:kern w:val="0"/>
                <w:sz w:val="20"/>
                <w:szCs w:val="20"/>
              </w:rPr>
              <w:br w:type="textWrapping"/>
            </w:r>
            <w:r>
              <w:rPr>
                <w:rFonts w:hint="eastAsia" w:ascii="宋体" w:hAnsi="宋体" w:cs="宋体"/>
                <w:kern w:val="0"/>
                <w:sz w:val="20"/>
                <w:szCs w:val="20"/>
              </w:rPr>
              <w:t>《中华人民共和国食品安全法》第三十五条</w:t>
            </w:r>
          </w:p>
          <w:p>
            <w:pPr>
              <w:widowControl/>
              <w:rPr>
                <w:rFonts w:hint="eastAsia" w:ascii="宋体" w:hAnsi="宋体" w:cs="宋体"/>
                <w:kern w:val="0"/>
                <w:sz w:val="20"/>
                <w:szCs w:val="20"/>
              </w:rPr>
            </w:pPr>
            <w:r>
              <w:rPr>
                <w:rFonts w:hint="eastAsia" w:ascii="宋体" w:hAnsi="宋体" w:cs="宋体"/>
                <w:kern w:val="0"/>
                <w:sz w:val="20"/>
                <w:szCs w:val="20"/>
              </w:rPr>
              <w:t>《中华人民共和国消防法》第十五条</w:t>
            </w:r>
          </w:p>
          <w:p>
            <w:pPr>
              <w:widowControl/>
              <w:rPr>
                <w:rFonts w:ascii="宋体" w:hAnsi="宋体" w:cs="宋体"/>
                <w:kern w:val="0"/>
                <w:sz w:val="20"/>
                <w:szCs w:val="20"/>
              </w:rPr>
            </w:pPr>
            <w:r>
              <w:rPr>
                <w:rFonts w:hint="eastAsia" w:ascii="宋体" w:hAnsi="宋体" w:cs="宋体"/>
                <w:kern w:val="0"/>
                <w:sz w:val="20"/>
                <w:szCs w:val="20"/>
              </w:rPr>
              <w:t>《出版管理条例》第三十五条　</w:t>
            </w:r>
          </w:p>
        </w:tc>
      </w:tr>
      <w:tr>
        <w:tblPrEx>
          <w:tblCellMar>
            <w:top w:w="0" w:type="dxa"/>
            <w:left w:w="108" w:type="dxa"/>
            <w:bottom w:w="0" w:type="dxa"/>
            <w:right w:w="108" w:type="dxa"/>
          </w:tblCellMar>
        </w:tblPrEx>
        <w:trPr>
          <w:trHeight w:val="1920" w:hRule="atLeast"/>
          <w:jc w:val="center"/>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4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健身馆</w:t>
            </w:r>
          </w:p>
          <w:p>
            <w:pPr>
              <w:widowControl/>
              <w:jc w:val="center"/>
              <w:rPr>
                <w:rFonts w:ascii="宋体" w:hAnsi="宋体" w:cs="宋体"/>
                <w:kern w:val="0"/>
                <w:sz w:val="20"/>
                <w:szCs w:val="20"/>
              </w:rPr>
            </w:pPr>
            <w:r>
              <w:rPr>
                <w:rFonts w:hint="eastAsia" w:ascii="宋体" w:hAnsi="宋体" w:cs="宋体"/>
                <w:kern w:val="0"/>
                <w:sz w:val="20"/>
                <w:szCs w:val="20"/>
              </w:rPr>
              <w:t>（含游泳馆）</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健身休闲活动（游泳、攀岩、滑雪、潜水）</w:t>
            </w:r>
          </w:p>
        </w:tc>
        <w:tc>
          <w:tcPr>
            <w:tcW w:w="41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公共场所卫生许可                                食品经营许可                                     经营高危险性体育项目许可                            公众聚集场所投入使用、营业前消防安全检查</w:t>
            </w:r>
          </w:p>
        </w:tc>
        <w:tc>
          <w:tcPr>
            <w:tcW w:w="548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《公共场所卫生管理条例》第四条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《公共场所卫生管理条例实施细则》第二十二条</w:t>
            </w:r>
            <w:r>
              <w:rPr>
                <w:rFonts w:hint="eastAsia" w:ascii="宋体" w:hAnsi="宋体" w:cs="宋体"/>
                <w:kern w:val="0"/>
                <w:sz w:val="20"/>
                <w:szCs w:val="20"/>
              </w:rPr>
              <w:br w:type="textWrapping"/>
            </w:r>
            <w:r>
              <w:rPr>
                <w:rFonts w:hint="eastAsia" w:ascii="宋体" w:hAnsi="宋体" w:cs="宋体"/>
                <w:kern w:val="0"/>
                <w:sz w:val="20"/>
                <w:szCs w:val="20"/>
              </w:rPr>
              <w:t>《国务院关于整合调整餐饮服务场所的公共场所卫生许可证和食品经营许可证的决定》</w:t>
            </w:r>
            <w:r>
              <w:rPr>
                <w:rFonts w:hint="eastAsia" w:ascii="宋体" w:hAnsi="宋体" w:cs="宋体"/>
                <w:kern w:val="0"/>
                <w:sz w:val="20"/>
                <w:szCs w:val="20"/>
              </w:rPr>
              <w:br w:type="textWrapping"/>
            </w:r>
            <w:r>
              <w:rPr>
                <w:rFonts w:hint="eastAsia" w:ascii="宋体" w:hAnsi="宋体" w:cs="宋体"/>
                <w:kern w:val="0"/>
                <w:sz w:val="20"/>
                <w:szCs w:val="20"/>
              </w:rPr>
              <w:t xml:space="preserve">《中华人民共和国食品安全法》第三十五条     </w:t>
            </w:r>
            <w:r>
              <w:rPr>
                <w:rFonts w:hint="eastAsia" w:ascii="宋体" w:hAnsi="宋体" w:cs="宋体"/>
                <w:kern w:val="0"/>
                <w:sz w:val="20"/>
                <w:szCs w:val="20"/>
              </w:rPr>
              <w:br w:type="textWrapping"/>
            </w:r>
            <w:r>
              <w:rPr>
                <w:rFonts w:hint="eastAsia" w:ascii="宋体" w:hAnsi="宋体" w:cs="宋体"/>
                <w:kern w:val="0"/>
                <w:sz w:val="20"/>
                <w:szCs w:val="20"/>
              </w:rPr>
              <w:t>《中华人民共和国消防法》第十五条</w:t>
            </w:r>
            <w:r>
              <w:rPr>
                <w:rFonts w:hint="eastAsia" w:ascii="宋体" w:hAnsi="宋体" w:cs="宋体"/>
                <w:kern w:val="0"/>
                <w:sz w:val="20"/>
                <w:szCs w:val="20"/>
              </w:rPr>
              <w:br w:type="textWrapping"/>
            </w:r>
            <w:r>
              <w:rPr>
                <w:rFonts w:hint="eastAsia" w:ascii="宋体" w:hAnsi="宋体" w:cs="宋体"/>
                <w:kern w:val="0"/>
                <w:sz w:val="20"/>
                <w:szCs w:val="20"/>
              </w:rPr>
              <w:t>《全民健身条例》第三十二条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QwMGZlYTAyMWQwZWE3NjE4MzFkMDY3YjI1MDEifQ=="/>
  </w:docVars>
  <w:rsids>
    <w:rsidRoot w:val="3BD17F42"/>
    <w:rsid w:val="3BD1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2022-11-07T02:43:00Z</dcterms:created>
  <dc:creator>源</dc:creator>
  <cp:lastModifiedBy>源</cp:lastModifiedBy>
  <dcterms:modified xsi:type="dcterms:W3CDTF">2022-11-07T02:43:26Z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64B0D1608DB24DD8A66797FD943878C9</vt:lpwstr>
  </property>
</Properties>
</file>