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方正小标宋_GBK" w:hAnsi="方正小标宋_GBK" w:eastAsia="方正小标宋_GBK" w:cs="方正小标宋_GBK"/>
          <w:spacing w:val="-1"/>
          <w:sz w:val="44"/>
          <w:szCs w:val="44"/>
        </w:rPr>
      </w:pPr>
    </w:p>
    <w:p>
      <w:pPr>
        <w:overflowPunct w:val="0"/>
        <w:spacing w:line="560" w:lineRule="exact"/>
        <w:jc w:val="center"/>
      </w:pPr>
      <w:r>
        <w:rPr>
          <w:rFonts w:hint="eastAsia" w:ascii="方正小标宋_GBK" w:hAnsi="方正小标宋_GBK" w:eastAsia="方正小标宋_GBK" w:cs="方正小标宋_GBK"/>
          <w:spacing w:val="-1"/>
          <w:sz w:val="44"/>
          <w:szCs w:val="44"/>
        </w:rPr>
        <w:t>费县疫苗安全事件</w:t>
      </w:r>
      <w:r>
        <w:rPr>
          <w:rFonts w:hint="eastAsia" w:ascii="方正小标宋_GBK" w:hAnsi="方正小标宋_GBK" w:eastAsia="方正小标宋_GBK" w:cs="方正小标宋_GBK"/>
          <w:sz w:val="44"/>
          <w:szCs w:val="44"/>
        </w:rPr>
        <w:t>应急预案</w:t>
      </w:r>
    </w:p>
    <w:p>
      <w:pPr>
        <w:overflowPunct w:val="0"/>
        <w:spacing w:line="560" w:lineRule="exact"/>
        <w:jc w:val="center"/>
        <w:rPr>
          <w:rFonts w:ascii="黑体" w:hAnsi="黑体" w:eastAsia="黑体" w:cs="黑体"/>
          <w:spacing w:val="-12"/>
          <w:sz w:val="32"/>
          <w:szCs w:val="32"/>
        </w:rPr>
      </w:pPr>
    </w:p>
    <w:p>
      <w:pPr>
        <w:overflowPunct w:val="0"/>
        <w:spacing w:line="560" w:lineRule="exact"/>
        <w:jc w:val="center"/>
        <w:rPr>
          <w:rFonts w:ascii="黑体" w:hAnsi="黑体" w:eastAsia="黑体" w:cs="黑体"/>
          <w:sz w:val="32"/>
          <w:szCs w:val="32"/>
        </w:rPr>
      </w:pPr>
      <w:r>
        <w:rPr>
          <w:rFonts w:hint="eastAsia" w:ascii="黑体" w:hAnsi="黑体" w:eastAsia="黑体" w:cs="黑体"/>
          <w:spacing w:val="-12"/>
          <w:sz w:val="32"/>
          <w:szCs w:val="32"/>
        </w:rPr>
        <w:t>目</w:t>
      </w:r>
      <w:r>
        <w:rPr>
          <w:rFonts w:ascii="黑体" w:hAnsi="黑体" w:eastAsia="黑体" w:cs="黑体"/>
          <w:spacing w:val="-9"/>
          <w:sz w:val="32"/>
          <w:szCs w:val="32"/>
        </w:rPr>
        <w:t xml:space="preserve">  </w:t>
      </w:r>
      <w:r>
        <w:rPr>
          <w:rFonts w:hint="eastAsia" w:ascii="黑体" w:hAnsi="黑体" w:eastAsia="黑体" w:cs="黑体"/>
          <w:spacing w:val="-9"/>
          <w:sz w:val="32"/>
          <w:szCs w:val="32"/>
        </w:rPr>
        <w:t>录</w:t>
      </w:r>
    </w:p>
    <w:p>
      <w:pPr>
        <w:overflowPunct w:val="0"/>
        <w:spacing w:line="560" w:lineRule="exact"/>
        <w:rPr>
          <w:rFonts w:ascii="黑体" w:hAnsi="黑体" w:eastAsia="黑体" w:cs="黑体"/>
          <w:spacing w:val="-1"/>
          <w:sz w:val="32"/>
          <w:szCs w:val="32"/>
        </w:rPr>
      </w:pPr>
      <w:r>
        <w:rPr>
          <w:rFonts w:ascii="黑体" w:hAnsi="黑体" w:eastAsia="黑体" w:cs="黑体"/>
          <w:spacing w:val="-1"/>
          <w:sz w:val="32"/>
          <w:szCs w:val="32"/>
        </w:rPr>
        <w:t xml:space="preserve">   1 </w:t>
      </w:r>
      <w:r>
        <w:rPr>
          <w:rFonts w:hint="eastAsia" w:ascii="黑体" w:hAnsi="黑体" w:eastAsia="黑体" w:cs="黑体"/>
          <w:spacing w:val="-1"/>
          <w:sz w:val="32"/>
          <w:szCs w:val="32"/>
        </w:rPr>
        <w:t>总则</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sz w:val="32"/>
          <w:szCs w:val="32"/>
        </w:rPr>
        <w:t xml:space="preserve">1.1 </w:t>
      </w:r>
      <w:r>
        <w:rPr>
          <w:rFonts w:hint="eastAsia" w:ascii="方正仿宋_GBK" w:hAnsi="方正仿宋_GBK" w:eastAsia="方正仿宋_GBK" w:cs="方正仿宋_GBK"/>
          <w:sz w:val="32"/>
          <w:szCs w:val="32"/>
        </w:rPr>
        <w:t>编制目的</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sz w:val="32"/>
          <w:szCs w:val="32"/>
        </w:rPr>
        <w:t xml:space="preserve">1.2 </w:t>
      </w:r>
      <w:r>
        <w:rPr>
          <w:rFonts w:hint="eastAsia" w:ascii="方正仿宋_GBK" w:hAnsi="方正仿宋_GBK" w:eastAsia="方正仿宋_GBK" w:cs="方正仿宋_GBK"/>
          <w:sz w:val="32"/>
          <w:szCs w:val="32"/>
        </w:rPr>
        <w:t>编制依据</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sz w:val="32"/>
          <w:szCs w:val="32"/>
        </w:rPr>
        <w:t xml:space="preserve">1.3 </w:t>
      </w:r>
      <w:r>
        <w:rPr>
          <w:rFonts w:hint="eastAsia" w:ascii="方正仿宋_GBK" w:hAnsi="方正仿宋_GBK" w:eastAsia="方正仿宋_GBK" w:cs="方正仿宋_GBK"/>
          <w:sz w:val="32"/>
          <w:szCs w:val="32"/>
        </w:rPr>
        <w:t>适用范围</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sz w:val="32"/>
          <w:szCs w:val="32"/>
        </w:rPr>
        <w:t xml:space="preserve">1.4 </w:t>
      </w:r>
      <w:r>
        <w:rPr>
          <w:rFonts w:hint="eastAsia" w:ascii="方正仿宋_GBK" w:hAnsi="方正仿宋_GBK" w:eastAsia="方正仿宋_GBK" w:cs="方正仿宋_GBK"/>
          <w:sz w:val="32"/>
          <w:szCs w:val="32"/>
        </w:rPr>
        <w:t>分级标准</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sz w:val="32"/>
          <w:szCs w:val="32"/>
        </w:rPr>
        <w:t xml:space="preserve">1.5 </w:t>
      </w:r>
      <w:r>
        <w:rPr>
          <w:rFonts w:hint="eastAsia" w:ascii="方正仿宋_GBK" w:hAnsi="方正仿宋_GBK" w:eastAsia="方正仿宋_GBK" w:cs="方正仿宋_GBK"/>
          <w:sz w:val="32"/>
          <w:szCs w:val="32"/>
        </w:rPr>
        <w:t>处置原则</w:t>
      </w:r>
    </w:p>
    <w:p>
      <w:pPr>
        <w:overflowPunct w:val="0"/>
        <w:spacing w:line="560" w:lineRule="exact"/>
        <w:rPr>
          <w:rFonts w:ascii="黑体" w:hAnsi="黑体" w:eastAsia="黑体" w:cs="黑体"/>
          <w:spacing w:val="-1"/>
          <w:sz w:val="32"/>
          <w:szCs w:val="32"/>
        </w:rPr>
      </w:pPr>
      <w:r>
        <w:rPr>
          <w:rFonts w:ascii="黑体" w:hAnsi="黑体" w:eastAsia="黑体" w:cs="黑体"/>
          <w:spacing w:val="-1"/>
          <w:sz w:val="32"/>
          <w:szCs w:val="32"/>
        </w:rPr>
        <w:t xml:space="preserve">   2 </w:t>
      </w:r>
      <w:r>
        <w:rPr>
          <w:rFonts w:hint="eastAsia" w:ascii="黑体" w:hAnsi="黑体" w:eastAsia="黑体" w:cs="黑体"/>
          <w:spacing w:val="-1"/>
          <w:sz w:val="32"/>
          <w:szCs w:val="32"/>
        </w:rPr>
        <w:t>组织体系</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2.1 </w:t>
      </w:r>
      <w:r>
        <w:rPr>
          <w:rFonts w:hint="eastAsia" w:ascii="方正仿宋_GBK" w:hAnsi="方正仿宋_GBK" w:eastAsia="方正仿宋_GBK" w:cs="方正仿宋_GBK"/>
          <w:position w:val="1"/>
          <w:sz w:val="32"/>
          <w:szCs w:val="32"/>
        </w:rPr>
        <w:t>应急指挥体系</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2.2 </w:t>
      </w:r>
      <w:r>
        <w:rPr>
          <w:rFonts w:hint="eastAsia" w:ascii="方正仿宋_GBK" w:hAnsi="方正仿宋_GBK" w:eastAsia="方正仿宋_GBK" w:cs="方正仿宋_GBK"/>
          <w:position w:val="1"/>
          <w:sz w:val="32"/>
          <w:szCs w:val="32"/>
        </w:rPr>
        <w:t>技术支撑机构</w:t>
      </w:r>
    </w:p>
    <w:p>
      <w:pPr>
        <w:overflowPunct w:val="0"/>
        <w:spacing w:line="560" w:lineRule="exact"/>
        <w:rPr>
          <w:rFonts w:ascii="方正仿宋_GBK" w:hAnsi="方正仿宋_GBK" w:eastAsia="方正仿宋_GBK" w:cs="方正仿宋_GBK"/>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2.3 </w:t>
      </w:r>
      <w:r>
        <w:rPr>
          <w:rFonts w:hint="eastAsia" w:ascii="方正仿宋_GBK" w:hAnsi="方正仿宋_GBK" w:eastAsia="方正仿宋_GBK" w:cs="方正仿宋_GBK"/>
          <w:position w:val="1"/>
          <w:sz w:val="32"/>
          <w:szCs w:val="32"/>
        </w:rPr>
        <w:t>组织指挥机构</w:t>
      </w:r>
    </w:p>
    <w:p>
      <w:pPr>
        <w:overflowPunct w:val="0"/>
        <w:spacing w:line="560" w:lineRule="exact"/>
        <w:rPr>
          <w:rFonts w:ascii="黑体" w:hAnsi="黑体" w:eastAsia="黑体" w:cs="黑体"/>
          <w:sz w:val="32"/>
          <w:szCs w:val="32"/>
        </w:rPr>
      </w:pPr>
      <w:r>
        <w:rPr>
          <w:rFonts w:ascii="黑体" w:hAnsi="黑体" w:eastAsia="黑体"/>
          <w:sz w:val="32"/>
          <w:szCs w:val="32"/>
        </w:rPr>
        <w:t xml:space="preserve"> </w:t>
      </w:r>
      <w:r>
        <w:rPr>
          <w:rFonts w:ascii="黑体" w:hAnsi="黑体" w:eastAsia="黑体" w:cs="黑体"/>
          <w:spacing w:val="-1"/>
          <w:sz w:val="32"/>
          <w:szCs w:val="32"/>
        </w:rPr>
        <w:t xml:space="preserve">  3 </w:t>
      </w:r>
      <w:r>
        <w:rPr>
          <w:rFonts w:hint="eastAsia" w:ascii="黑体" w:hAnsi="黑体" w:eastAsia="黑体" w:cs="黑体"/>
          <w:spacing w:val="-1"/>
          <w:sz w:val="32"/>
          <w:szCs w:val="32"/>
        </w:rPr>
        <w:t>信息报告</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3.1 </w:t>
      </w:r>
      <w:r>
        <w:rPr>
          <w:rFonts w:hint="eastAsia" w:ascii="方正仿宋_GBK" w:hAnsi="方正仿宋_GBK" w:eastAsia="方正仿宋_GBK" w:cs="方正仿宋_GBK"/>
          <w:position w:val="1"/>
          <w:sz w:val="32"/>
          <w:szCs w:val="32"/>
        </w:rPr>
        <w:t>监测</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3.2 </w:t>
      </w:r>
      <w:r>
        <w:rPr>
          <w:rFonts w:hint="eastAsia" w:ascii="方正仿宋_GBK" w:hAnsi="方正仿宋_GBK" w:eastAsia="方正仿宋_GBK" w:cs="方正仿宋_GBK"/>
          <w:position w:val="1"/>
          <w:sz w:val="32"/>
          <w:szCs w:val="32"/>
        </w:rPr>
        <w:t>预警</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3.3 </w:t>
      </w:r>
      <w:r>
        <w:rPr>
          <w:rFonts w:hint="eastAsia" w:ascii="方正仿宋_GBK" w:hAnsi="方正仿宋_GBK" w:eastAsia="方正仿宋_GBK" w:cs="方正仿宋_GBK"/>
          <w:position w:val="1"/>
          <w:sz w:val="32"/>
          <w:szCs w:val="32"/>
        </w:rPr>
        <w:t>报告</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3.4 </w:t>
      </w:r>
      <w:r>
        <w:rPr>
          <w:rFonts w:hint="eastAsia" w:ascii="方正仿宋_GBK" w:hAnsi="方正仿宋_GBK" w:eastAsia="方正仿宋_GBK" w:cs="方正仿宋_GBK"/>
          <w:position w:val="1"/>
          <w:sz w:val="32"/>
          <w:szCs w:val="32"/>
        </w:rPr>
        <w:t>事件评估</w:t>
      </w:r>
    </w:p>
    <w:p>
      <w:pPr>
        <w:overflowPunct w:val="0"/>
        <w:spacing w:line="560" w:lineRule="exact"/>
        <w:rPr>
          <w:rFonts w:ascii="黑体" w:hAnsi="黑体" w:eastAsia="黑体" w:cs="黑体"/>
          <w:spacing w:val="-1"/>
          <w:sz w:val="32"/>
          <w:szCs w:val="32"/>
        </w:rPr>
      </w:pPr>
      <w:r>
        <w:rPr>
          <w:rFonts w:ascii="黑体" w:hAnsi="黑体" w:eastAsia="黑体" w:cs="黑体"/>
          <w:spacing w:val="-1"/>
          <w:sz w:val="32"/>
          <w:szCs w:val="32"/>
        </w:rPr>
        <w:t xml:space="preserve">   4 </w:t>
      </w:r>
      <w:r>
        <w:rPr>
          <w:rFonts w:hint="eastAsia" w:ascii="黑体" w:hAnsi="黑体" w:eastAsia="黑体" w:cs="黑体"/>
          <w:spacing w:val="-1"/>
          <w:sz w:val="32"/>
          <w:szCs w:val="32"/>
        </w:rPr>
        <w:t>分级响应</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4.1</w:t>
      </w:r>
      <w:r>
        <w:rPr>
          <w:rFonts w:hint="eastAsia" w:ascii="方正仿宋_GBK" w:hAnsi="方正仿宋_GBK" w:eastAsia="方正仿宋_GBK" w:cs="方正仿宋_GBK"/>
          <w:position w:val="1"/>
          <w:sz w:val="32"/>
          <w:szCs w:val="32"/>
        </w:rPr>
        <w:t>Ⅰ级、Ⅱ级、Ⅲ级响应</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4.2 </w:t>
      </w:r>
      <w:r>
        <w:rPr>
          <w:rFonts w:hint="eastAsia" w:ascii="方正仿宋_GBK" w:hAnsi="方正仿宋_GBK" w:eastAsia="方正仿宋_GBK" w:cs="方正仿宋_GBK"/>
          <w:position w:val="1"/>
          <w:sz w:val="32"/>
          <w:szCs w:val="32"/>
        </w:rPr>
        <w:t>Ⅳ级响应</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4.3 </w:t>
      </w:r>
      <w:r>
        <w:rPr>
          <w:rFonts w:hint="eastAsia" w:ascii="方正仿宋_GBK" w:hAnsi="方正仿宋_GBK" w:eastAsia="方正仿宋_GBK" w:cs="方正仿宋_GBK"/>
          <w:position w:val="1"/>
          <w:sz w:val="32"/>
          <w:szCs w:val="32"/>
        </w:rPr>
        <w:t>响应措施</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4.4 </w:t>
      </w:r>
      <w:r>
        <w:rPr>
          <w:rFonts w:hint="eastAsia" w:ascii="方正仿宋_GBK" w:hAnsi="方正仿宋_GBK" w:eastAsia="方正仿宋_GBK" w:cs="方正仿宋_GBK"/>
          <w:position w:val="1"/>
          <w:sz w:val="32"/>
          <w:szCs w:val="32"/>
        </w:rPr>
        <w:t>响应结束</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4.5 </w:t>
      </w:r>
      <w:r>
        <w:rPr>
          <w:rFonts w:hint="eastAsia" w:ascii="方正仿宋_GBK" w:hAnsi="方正仿宋_GBK" w:eastAsia="方正仿宋_GBK" w:cs="方正仿宋_GBK"/>
          <w:position w:val="1"/>
          <w:sz w:val="32"/>
          <w:szCs w:val="32"/>
        </w:rPr>
        <w:t>信息发布</w:t>
      </w:r>
    </w:p>
    <w:p>
      <w:pPr>
        <w:overflowPunct w:val="0"/>
        <w:spacing w:line="560" w:lineRule="exact"/>
        <w:rPr>
          <w:rFonts w:ascii="黑体" w:hAnsi="黑体" w:eastAsia="黑体" w:cs="黑体"/>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黑体" w:hAnsi="黑体" w:eastAsia="黑体" w:cs="黑体"/>
          <w:spacing w:val="-1"/>
          <w:sz w:val="32"/>
          <w:szCs w:val="32"/>
        </w:rPr>
        <w:t xml:space="preserve">5 </w:t>
      </w:r>
      <w:r>
        <w:rPr>
          <w:rFonts w:hint="eastAsia" w:ascii="黑体" w:hAnsi="黑体" w:eastAsia="黑体" w:cs="黑体"/>
          <w:sz w:val="32"/>
          <w:szCs w:val="32"/>
        </w:rPr>
        <w:t>风险沟通</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5.1 </w:t>
      </w:r>
      <w:r>
        <w:rPr>
          <w:rFonts w:hint="eastAsia" w:ascii="方正仿宋_GBK" w:hAnsi="方正仿宋_GBK" w:eastAsia="方正仿宋_GBK" w:cs="方正仿宋_GBK"/>
          <w:position w:val="1"/>
          <w:sz w:val="32"/>
          <w:szCs w:val="32"/>
        </w:rPr>
        <w:t>沟通目的</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5.2 </w:t>
      </w:r>
      <w:r>
        <w:rPr>
          <w:rFonts w:hint="eastAsia" w:ascii="方正仿宋_GBK" w:hAnsi="方正仿宋_GBK" w:eastAsia="方正仿宋_GBK" w:cs="方正仿宋_GBK"/>
          <w:position w:val="1"/>
          <w:sz w:val="32"/>
          <w:szCs w:val="32"/>
        </w:rPr>
        <w:t>沟通原则</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5.3 </w:t>
      </w:r>
      <w:r>
        <w:rPr>
          <w:rFonts w:hint="eastAsia" w:ascii="方正仿宋_GBK" w:hAnsi="方正仿宋_GBK" w:eastAsia="方正仿宋_GBK" w:cs="方正仿宋_GBK"/>
          <w:position w:val="1"/>
          <w:sz w:val="32"/>
          <w:szCs w:val="32"/>
        </w:rPr>
        <w:t>沟通方式</w:t>
      </w:r>
    </w:p>
    <w:p>
      <w:pPr>
        <w:overflowPunct w:val="0"/>
        <w:spacing w:line="560" w:lineRule="exact"/>
        <w:rPr>
          <w:rFonts w:ascii="黑体" w:hAnsi="黑体" w:eastAsia="黑体" w:cs="黑体"/>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黑体" w:hAnsi="黑体" w:eastAsia="黑体" w:cs="黑体"/>
          <w:spacing w:val="-2"/>
          <w:sz w:val="32"/>
          <w:szCs w:val="32"/>
        </w:rPr>
        <w:t xml:space="preserve">6 </w:t>
      </w:r>
      <w:r>
        <w:rPr>
          <w:rFonts w:hint="eastAsia" w:ascii="黑体" w:hAnsi="黑体" w:eastAsia="黑体" w:cs="黑体"/>
          <w:spacing w:val="-1"/>
          <w:sz w:val="32"/>
          <w:szCs w:val="32"/>
        </w:rPr>
        <w:t>后期处置</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6.1 </w:t>
      </w:r>
      <w:r>
        <w:rPr>
          <w:rFonts w:hint="eastAsia" w:ascii="方正仿宋_GBK" w:hAnsi="方正仿宋_GBK" w:eastAsia="方正仿宋_GBK" w:cs="方正仿宋_GBK"/>
          <w:position w:val="1"/>
          <w:sz w:val="32"/>
          <w:szCs w:val="32"/>
        </w:rPr>
        <w:t>事件评估</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6.2 </w:t>
      </w:r>
      <w:r>
        <w:rPr>
          <w:rFonts w:hint="eastAsia" w:ascii="方正仿宋_GBK" w:hAnsi="方正仿宋_GBK" w:eastAsia="方正仿宋_GBK" w:cs="方正仿宋_GBK"/>
          <w:position w:val="1"/>
          <w:sz w:val="32"/>
          <w:szCs w:val="32"/>
        </w:rPr>
        <w:t>工作总结</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6.3 </w:t>
      </w:r>
      <w:r>
        <w:rPr>
          <w:rFonts w:hint="eastAsia" w:ascii="方正仿宋_GBK" w:hAnsi="方正仿宋_GBK" w:eastAsia="方正仿宋_GBK" w:cs="方正仿宋_GBK"/>
          <w:position w:val="1"/>
          <w:sz w:val="32"/>
          <w:szCs w:val="32"/>
        </w:rPr>
        <w:t>善后与恢复</w:t>
      </w:r>
    </w:p>
    <w:p>
      <w:pPr>
        <w:overflowPunct w:val="0"/>
        <w:spacing w:line="560" w:lineRule="exact"/>
        <w:rPr>
          <w:rFonts w:ascii="黑体" w:hAnsi="黑体" w:eastAsia="黑体" w:cs="黑体"/>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黑体" w:hAnsi="黑体" w:eastAsia="黑体" w:cs="黑体"/>
          <w:spacing w:val="-2"/>
          <w:sz w:val="32"/>
          <w:szCs w:val="32"/>
        </w:rPr>
        <w:t xml:space="preserve">7 </w:t>
      </w:r>
      <w:r>
        <w:rPr>
          <w:rFonts w:hint="eastAsia" w:ascii="黑体" w:hAnsi="黑体" w:eastAsia="黑体" w:cs="黑体"/>
          <w:spacing w:val="-2"/>
          <w:sz w:val="32"/>
          <w:szCs w:val="32"/>
        </w:rPr>
        <w:t>保障</w:t>
      </w:r>
      <w:r>
        <w:rPr>
          <w:rFonts w:hint="eastAsia" w:ascii="黑体" w:hAnsi="黑体" w:eastAsia="黑体" w:cs="黑体"/>
          <w:spacing w:val="-1"/>
          <w:sz w:val="32"/>
          <w:szCs w:val="32"/>
        </w:rPr>
        <w:t>措施</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7.1 </w:t>
      </w:r>
      <w:r>
        <w:rPr>
          <w:rFonts w:hint="eastAsia" w:ascii="方正仿宋_GBK" w:hAnsi="方正仿宋_GBK" w:eastAsia="方正仿宋_GBK" w:cs="方正仿宋_GBK"/>
          <w:position w:val="1"/>
          <w:sz w:val="32"/>
          <w:szCs w:val="32"/>
        </w:rPr>
        <w:t>信息保障</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7.2 </w:t>
      </w:r>
      <w:r>
        <w:rPr>
          <w:rFonts w:hint="eastAsia" w:ascii="方正仿宋_GBK" w:hAnsi="方正仿宋_GBK" w:eastAsia="方正仿宋_GBK" w:cs="方正仿宋_GBK"/>
          <w:position w:val="1"/>
          <w:sz w:val="32"/>
          <w:szCs w:val="32"/>
        </w:rPr>
        <w:t>人员及技术保障</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7.3 </w:t>
      </w:r>
      <w:r>
        <w:rPr>
          <w:rFonts w:hint="eastAsia" w:ascii="方正仿宋_GBK" w:hAnsi="方正仿宋_GBK" w:eastAsia="方正仿宋_GBK" w:cs="方正仿宋_GBK"/>
          <w:position w:val="1"/>
          <w:sz w:val="32"/>
          <w:szCs w:val="32"/>
        </w:rPr>
        <w:t>物资和经费保障</w:t>
      </w:r>
    </w:p>
    <w:p>
      <w:pPr>
        <w:overflowPunct w:val="0"/>
        <w:spacing w:line="560" w:lineRule="exact"/>
        <w:rPr>
          <w:rFonts w:ascii="黑体" w:hAnsi="黑体" w:eastAsia="黑体" w:cs="黑体"/>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黑体" w:hAnsi="黑体" w:eastAsia="黑体" w:cs="黑体"/>
          <w:spacing w:val="-1"/>
          <w:sz w:val="32"/>
          <w:szCs w:val="32"/>
        </w:rPr>
        <w:t xml:space="preserve">8 </w:t>
      </w:r>
      <w:r>
        <w:rPr>
          <w:rFonts w:hint="eastAsia" w:ascii="黑体" w:hAnsi="黑体" w:eastAsia="黑体" w:cs="黑体"/>
          <w:spacing w:val="-1"/>
          <w:sz w:val="32"/>
          <w:szCs w:val="32"/>
        </w:rPr>
        <w:t>预</w:t>
      </w:r>
      <w:r>
        <w:rPr>
          <w:rFonts w:hint="eastAsia" w:ascii="黑体" w:hAnsi="黑体" w:eastAsia="黑体" w:cs="黑体"/>
          <w:sz w:val="32"/>
          <w:szCs w:val="32"/>
        </w:rPr>
        <w:t>案管理</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8.1 </w:t>
      </w:r>
      <w:r>
        <w:rPr>
          <w:rFonts w:hint="eastAsia" w:ascii="方正仿宋_GBK" w:hAnsi="方正仿宋_GBK" w:eastAsia="方正仿宋_GBK" w:cs="方正仿宋_GBK"/>
          <w:position w:val="1"/>
          <w:sz w:val="32"/>
          <w:szCs w:val="32"/>
        </w:rPr>
        <w:t>预案编制</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8.2 </w:t>
      </w:r>
      <w:r>
        <w:rPr>
          <w:rFonts w:hint="eastAsia" w:ascii="方正仿宋_GBK" w:hAnsi="方正仿宋_GBK" w:eastAsia="方正仿宋_GBK" w:cs="方正仿宋_GBK"/>
          <w:position w:val="1"/>
          <w:sz w:val="32"/>
          <w:szCs w:val="32"/>
        </w:rPr>
        <w:t>预案演练</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8.3 </w:t>
      </w:r>
      <w:r>
        <w:rPr>
          <w:rFonts w:hint="eastAsia" w:ascii="方正仿宋_GBK" w:hAnsi="方正仿宋_GBK" w:eastAsia="方正仿宋_GBK" w:cs="方正仿宋_GBK"/>
          <w:position w:val="1"/>
          <w:sz w:val="32"/>
          <w:szCs w:val="32"/>
        </w:rPr>
        <w:t>预案评估与修订</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8.4 </w:t>
      </w:r>
      <w:r>
        <w:rPr>
          <w:rFonts w:hint="eastAsia" w:ascii="方正仿宋_GBK" w:hAnsi="方正仿宋_GBK" w:eastAsia="方正仿宋_GBK" w:cs="方正仿宋_GBK"/>
          <w:position w:val="1"/>
          <w:sz w:val="32"/>
          <w:szCs w:val="32"/>
        </w:rPr>
        <w:t>宣传和培训</w:t>
      </w:r>
    </w:p>
    <w:p>
      <w:pPr>
        <w:overflowPunct w:val="0"/>
        <w:spacing w:line="560" w:lineRule="exact"/>
        <w:rPr>
          <w:rFonts w:ascii="黑体" w:hAnsi="黑体" w:eastAsia="黑体" w:cs="黑体"/>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黑体" w:hAnsi="黑体" w:eastAsia="黑体" w:cs="黑体"/>
          <w:spacing w:val="2"/>
          <w:sz w:val="32"/>
          <w:szCs w:val="32"/>
        </w:rPr>
        <w:t xml:space="preserve">9 </w:t>
      </w:r>
      <w:r>
        <w:rPr>
          <w:rFonts w:hint="eastAsia" w:ascii="黑体" w:hAnsi="黑体" w:eastAsia="黑体" w:cs="黑体"/>
          <w:spacing w:val="2"/>
          <w:sz w:val="32"/>
          <w:szCs w:val="32"/>
        </w:rPr>
        <w:t>附则</w:t>
      </w:r>
    </w:p>
    <w:p>
      <w:pPr>
        <w:overflowPunct w:val="0"/>
        <w:spacing w:line="560" w:lineRule="exact"/>
        <w:rPr>
          <w:rFonts w:ascii="方正仿宋_GBK" w:hAnsi="方正仿宋_GBK" w:eastAsia="方正仿宋_GBK" w:cs="方正仿宋_GBK"/>
          <w:position w:val="1"/>
          <w:sz w:val="32"/>
          <w:szCs w:val="32"/>
        </w:rPr>
      </w:pPr>
      <w:r>
        <w:rPr>
          <w:rFonts w:ascii="黑体" w:hAnsi="黑体" w:eastAsia="黑体"/>
          <w:sz w:val="32"/>
          <w:szCs w:val="32"/>
        </w:rPr>
        <w:t xml:space="preserve"> </w:t>
      </w:r>
      <w:r>
        <w:rPr>
          <w:rFonts w:ascii="楷体" w:hAnsi="楷体" w:eastAsia="楷体" w:cs="楷体"/>
          <w:sz w:val="32"/>
          <w:szCs w:val="32"/>
        </w:rPr>
        <w:t xml:space="preserve">  </w:t>
      </w:r>
      <w:r>
        <w:rPr>
          <w:rFonts w:ascii="方正仿宋_GBK" w:hAnsi="方正仿宋_GBK" w:eastAsia="方正仿宋_GBK" w:cs="方正仿宋_GBK"/>
          <w:position w:val="1"/>
          <w:sz w:val="32"/>
          <w:szCs w:val="32"/>
        </w:rPr>
        <w:t xml:space="preserve"> 9.1 </w:t>
      </w:r>
      <w:r>
        <w:rPr>
          <w:rFonts w:hint="eastAsia" w:ascii="方正仿宋_GBK" w:hAnsi="方正仿宋_GBK" w:eastAsia="方正仿宋_GBK" w:cs="方正仿宋_GBK"/>
          <w:position w:val="1"/>
          <w:sz w:val="32"/>
          <w:szCs w:val="32"/>
        </w:rPr>
        <w:t>预案解释</w:t>
      </w:r>
    </w:p>
    <w:p>
      <w:pPr>
        <w:overflowPunct w:val="0"/>
        <w:spacing w:line="560" w:lineRule="exact"/>
        <w:rPr>
          <w:rFonts w:ascii="方正仿宋_GBK" w:hAnsi="方正仿宋_GBK" w:eastAsia="方正仿宋_GBK" w:cs="方正仿宋_GBK"/>
          <w:position w:val="1"/>
          <w:sz w:val="32"/>
          <w:szCs w:val="32"/>
        </w:rPr>
      </w:pPr>
      <w:r>
        <w:rPr>
          <w:rFonts w:ascii="方正仿宋_GBK" w:hAnsi="方正仿宋_GBK" w:eastAsia="方正仿宋_GBK" w:cs="方正仿宋_GBK"/>
          <w:position w:val="1"/>
          <w:sz w:val="32"/>
          <w:szCs w:val="32"/>
        </w:rPr>
        <w:t xml:space="preserve">    9.2 </w:t>
      </w:r>
      <w:r>
        <w:rPr>
          <w:rFonts w:hint="eastAsia" w:ascii="方正仿宋_GBK" w:hAnsi="方正仿宋_GBK" w:eastAsia="方正仿宋_GBK" w:cs="方正仿宋_GBK"/>
          <w:position w:val="1"/>
          <w:sz w:val="32"/>
          <w:szCs w:val="32"/>
        </w:rPr>
        <w:t>预案实施</w:t>
      </w:r>
    </w:p>
    <w:p>
      <w:pPr>
        <w:overflowPunct w:val="0"/>
        <w:spacing w:line="560" w:lineRule="exact"/>
        <w:rPr>
          <w:rFonts w:ascii="方正仿宋_GBK" w:hAnsi="方正仿宋_GBK" w:eastAsia="方正仿宋_GBK" w:cs="方正仿宋_GBK"/>
          <w:position w:val="1"/>
          <w:sz w:val="32"/>
          <w:szCs w:val="32"/>
        </w:rPr>
      </w:pPr>
    </w:p>
    <w:p>
      <w:pPr>
        <w:pStyle w:val="2"/>
        <w:rPr>
          <w:rFonts w:ascii="方正仿宋_GBK" w:hAnsi="方正仿宋_GBK" w:eastAsia="方正仿宋_GBK" w:cs="方正仿宋_GBK"/>
          <w:position w:val="1"/>
          <w:sz w:val="32"/>
          <w:szCs w:val="32"/>
        </w:rPr>
      </w:pPr>
    </w:p>
    <w:p>
      <w:pPr>
        <w:pStyle w:val="2"/>
      </w:pPr>
    </w:p>
    <w:p>
      <w:pPr>
        <w:pStyle w:val="2"/>
      </w:pP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1 </w:t>
      </w:r>
      <w:r>
        <w:rPr>
          <w:rFonts w:hint="eastAsia" w:ascii="黑体" w:hAnsi="黑体" w:eastAsia="黑体" w:cs="黑体"/>
          <w:sz w:val="32"/>
          <w:szCs w:val="32"/>
        </w:rPr>
        <w:t>总则</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1.1 </w:t>
      </w:r>
      <w:r>
        <w:rPr>
          <w:rFonts w:hint="eastAsia" w:ascii="楷体" w:hAnsi="楷体" w:eastAsia="楷体" w:cs="楷体"/>
          <w:sz w:val="32"/>
          <w:szCs w:val="32"/>
        </w:rPr>
        <w:t>编制目的</w:t>
      </w:r>
    </w:p>
    <w:p>
      <w:pPr>
        <w:overflowPunct w:val="0"/>
        <w:spacing w:line="560" w:lineRule="exact"/>
        <w:ind w:firstLine="65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建立健全我县疫苗安全事件应急处置机制，有效预防、积极应对疫苗安全事件，高效组织应急处置工作，最大限度降低疫苗安全事件危害，保障公众健康和生命安全，维护正常的社会经济秩序，结合我县实际，制定本预案。</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1.2 </w:t>
      </w:r>
      <w:r>
        <w:rPr>
          <w:rFonts w:hint="eastAsia" w:ascii="楷体" w:hAnsi="楷体" w:eastAsia="楷体" w:cs="楷体"/>
          <w:sz w:val="32"/>
          <w:szCs w:val="32"/>
        </w:rPr>
        <w:t>编制依据</w:t>
      </w:r>
    </w:p>
    <w:p>
      <w:pPr>
        <w:overflowPunct w:val="0"/>
        <w:spacing w:line="560" w:lineRule="exact"/>
        <w:ind w:firstLine="68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突发事件应对法》《中华人民共和国药品管理法》《中华人民共和国疫苗管理法》《全国疑似预防接种异常反应监测方案》《山东省人民政府办公厅关于改革和完善疫苗管理体制的意见》《山东省药品安全事件应急预案》《临沂市突发事件总体应急预案》《临沂市疫苗安全事件应急预案》等法律法规及有关规定。</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1.3 </w:t>
      </w:r>
      <w:r>
        <w:rPr>
          <w:rFonts w:hint="eastAsia" w:ascii="楷体" w:hAnsi="楷体" w:eastAsia="楷体" w:cs="楷体"/>
          <w:sz w:val="32"/>
          <w:szCs w:val="32"/>
        </w:rPr>
        <w:t>适用范围</w:t>
      </w:r>
    </w:p>
    <w:p>
      <w:pPr>
        <w:overflowPunct w:val="0"/>
        <w:spacing w:line="560" w:lineRule="exact"/>
        <w:ind w:firstLine="63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本预案适用于费县行政区域内的疫苗安全事件应对处置工作。</w:t>
      </w:r>
    </w:p>
    <w:p>
      <w:pPr>
        <w:overflowPunct w:val="0"/>
        <w:spacing w:line="560" w:lineRule="exact"/>
        <w:ind w:firstLine="6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的疫苗安全事件，是指发生疫苗疑似预防接种反应、群体不良事件，经组织调查后确认或怀疑与疫苗质量有关，或者日常监督检查和风险监测中发现的疫苗安全信息，以及其他严重影响公众健康的疫苗安全事件。</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1.4 </w:t>
      </w:r>
      <w:r>
        <w:rPr>
          <w:rFonts w:hint="eastAsia" w:ascii="楷体" w:hAnsi="楷体" w:eastAsia="楷体" w:cs="楷体"/>
          <w:sz w:val="32"/>
          <w:szCs w:val="32"/>
        </w:rPr>
        <w:t>分级标准</w:t>
      </w:r>
    </w:p>
    <w:p>
      <w:pPr>
        <w:overflowPunct w:val="0"/>
        <w:spacing w:line="560" w:lineRule="exact"/>
        <w:ind w:firstLine="64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疫苗安全事件分为特别重大、重大、较大和一般</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个级别，依次对应Ⅰ、Ⅱ、Ⅲ、Ⅳ级响应</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详见附件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1.5 </w:t>
      </w:r>
      <w:r>
        <w:rPr>
          <w:rFonts w:hint="eastAsia" w:ascii="楷体" w:hAnsi="楷体" w:eastAsia="楷体" w:cs="楷体"/>
          <w:sz w:val="32"/>
          <w:szCs w:val="32"/>
        </w:rPr>
        <w:t>处置原则</w:t>
      </w:r>
    </w:p>
    <w:p>
      <w:pPr>
        <w:overflowPunct w:val="0"/>
        <w:spacing w:line="56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遵循统一领导、分级负责、预防为主、快速反应、协同应对、依法规范、科学处置的原则。</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2 </w:t>
      </w:r>
      <w:r>
        <w:rPr>
          <w:rFonts w:hint="eastAsia" w:ascii="黑体" w:hAnsi="黑体" w:eastAsia="黑体" w:cs="黑体"/>
          <w:sz w:val="32"/>
          <w:szCs w:val="32"/>
        </w:rPr>
        <w:t>组织体系</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2.1 </w:t>
      </w:r>
      <w:r>
        <w:rPr>
          <w:rFonts w:hint="eastAsia" w:ascii="楷体" w:hAnsi="楷体" w:eastAsia="楷体" w:cs="楷体"/>
          <w:sz w:val="32"/>
          <w:szCs w:val="32"/>
        </w:rPr>
        <w:t>应急指挥体系</w:t>
      </w:r>
    </w:p>
    <w:p>
      <w:pPr>
        <w:overflowPunct w:val="0"/>
        <w:topLinePunct/>
        <w:spacing w:line="560" w:lineRule="exact"/>
        <w:ind w:firstLine="6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全县疫苗安全事件应急指挥体系由县、乡镇</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街道，下同</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各级应急指挥部及其工作组组成，按照分级负责的原则，负责组织、协调和指导相应事件等级的疫苗质量安全应急处置工作。</w:t>
      </w:r>
    </w:p>
    <w:p>
      <w:pPr>
        <w:overflowPunct w:val="0"/>
        <w:spacing w:line="56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县级应急指挥部负责应对本行政区域一般及以上疫苗安全事件；各乡镇应急指挥部负责应对本行政区域疫苗安全事件。</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2.1.1 </w:t>
      </w:r>
      <w:r>
        <w:rPr>
          <w:rFonts w:hint="eastAsia" w:ascii="方正仿宋_GBK" w:hAnsi="方正仿宋_GBK" w:eastAsia="方正仿宋_GBK" w:cs="方正仿宋_GBK"/>
          <w:sz w:val="32"/>
          <w:szCs w:val="32"/>
        </w:rPr>
        <w:t>县疫苗安全事件应急指挥部</w:t>
      </w:r>
    </w:p>
    <w:p>
      <w:pPr>
        <w:overflowPunct w:val="0"/>
        <w:spacing w:line="560" w:lineRule="exact"/>
        <w:ind w:firstLine="63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在县政府领导下，成立县疫苗安全事件应急指挥部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以下简称县指挥部</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，负责组织、协调和指导全县疫苗安全事件应对工作。</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总指挥：县政府分管负责同志。</w:t>
      </w:r>
    </w:p>
    <w:p>
      <w:pPr>
        <w:overflowPunct w:val="0"/>
        <w:spacing w:line="560" w:lineRule="exact"/>
        <w:ind w:firstLine="64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副总指挥：县政府办公室分管负责同志，县市场监管局、卫生健康局、事发乡镇人民政府主要负责同志。</w:t>
      </w:r>
    </w:p>
    <w:p>
      <w:pPr>
        <w:overflowPunct w:val="0"/>
        <w:spacing w:line="560" w:lineRule="exact"/>
        <w:ind w:firstLine="64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县委宣传部、网信中心、教体局、工信局、公安局、市公安局交警支队费县大队、民政局、司法局、财政局、交通运输局、商务局、文化旅游局、卫生健康局、应急局、市场监管局、县信访局、银保监组等部门、单位分管负责同志。总指挥根据实际情况，可抽调其他有关部门、单位分管负责同志作为成员。</w:t>
      </w:r>
    </w:p>
    <w:p>
      <w:pPr>
        <w:overflowPunct w:val="0"/>
        <w:spacing w:line="560" w:lineRule="exact"/>
        <w:ind w:firstLine="63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各成员单位根据应急响应级别，按照县指挥部的统一部署，依职责（详见附件</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）做好疫苗安全事件应急处置工作。</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 </w:t>
      </w:r>
      <w:r>
        <w:rPr>
          <w:rFonts w:hint="eastAsia" w:ascii="方正仿宋_GBK" w:hAnsi="方正仿宋_GBK" w:eastAsia="方正仿宋_GBK" w:cs="方正仿宋_GBK"/>
          <w:sz w:val="32"/>
          <w:szCs w:val="32"/>
        </w:rPr>
        <w:t>县指挥部工作组组成和职责</w:t>
      </w:r>
    </w:p>
    <w:p>
      <w:pPr>
        <w:overflowPunct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县指挥部下设综合协调组、医疗救治组、危害控制组、舆情引导组、事件调查组、社会稳定组、专家组等工作组。</w:t>
      </w:r>
    </w:p>
    <w:p>
      <w:pPr>
        <w:overflowPunct w:val="0"/>
        <w:spacing w:line="560" w:lineRule="exact"/>
        <w:ind w:firstLine="646"/>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2.1.2.1 </w:t>
      </w:r>
      <w:r>
        <w:rPr>
          <w:rFonts w:hint="eastAsia" w:ascii="方正仿宋_GBK" w:hAnsi="方正仿宋_GBK" w:eastAsia="方正仿宋_GBK" w:cs="方正仿宋_GBK"/>
          <w:sz w:val="32"/>
          <w:szCs w:val="32"/>
        </w:rPr>
        <w:t>综合协调组：由县市场监管局牵头，县工信局、财政局、交通运输局、市公安局交警支队费县大队、商务局、卫生健康局、应急局、大数据中心等部门和事发乡镇人民政府组成。负责组织协调各工作组开展应急处置工作，协调解决应急处置中的重大问题；收集、整理、上报疫苗安全事件处置信息；协调提供必要的经费保障；经县指挥部授权，发布处置工作动态；承担县指挥部交办的其他工作。</w:t>
      </w:r>
    </w:p>
    <w:p>
      <w:pPr>
        <w:overflowPunct w:val="0"/>
        <w:spacing w:line="560" w:lineRule="exact"/>
        <w:ind w:firstLine="63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2.1.2.2 </w:t>
      </w:r>
      <w:r>
        <w:rPr>
          <w:rFonts w:hint="eastAsia" w:ascii="方正仿宋_GBK" w:hAnsi="方正仿宋_GBK" w:eastAsia="方正仿宋_GBK" w:cs="方正仿宋_GBK"/>
          <w:sz w:val="32"/>
          <w:szCs w:val="32"/>
        </w:rPr>
        <w:t>医疗救治组：由县卫生健康局牵头，县市场监管局、教体局等部门组成。制定救治方案，组织、指导医疗机构对健康受到危害的人员进行医疗救治。</w:t>
      </w:r>
    </w:p>
    <w:p>
      <w:pPr>
        <w:overflowPunct w:val="0"/>
        <w:spacing w:line="560" w:lineRule="exact"/>
        <w:ind w:firstLine="642"/>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2.1.2.3 </w:t>
      </w:r>
      <w:r>
        <w:rPr>
          <w:rFonts w:hint="eastAsia" w:ascii="方正仿宋_GBK" w:hAnsi="方正仿宋_GBK" w:eastAsia="方正仿宋_GBK" w:cs="方正仿宋_GBK"/>
          <w:sz w:val="32"/>
          <w:szCs w:val="32"/>
        </w:rPr>
        <w:t>危害控制组：由县市场监管局、卫生健康局牵头，负责督导事发地有关部门按照各自职责对疫苗上市许可持有人、配送单位、疾控机构、接种单位等相关主体采取停止生产、销售、配送、使用等应急处置措施；依法采取查封、扣押、责令召回和销毁等风险控制措施，防止危害蔓延扩大。</w:t>
      </w:r>
    </w:p>
    <w:p>
      <w:pPr>
        <w:overflowPunct w:val="0"/>
        <w:spacing w:line="560" w:lineRule="exact"/>
        <w:ind w:firstLine="644"/>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2.1.2.4 </w:t>
      </w:r>
      <w:r>
        <w:rPr>
          <w:rFonts w:hint="eastAsia" w:ascii="方正仿宋_GBK" w:hAnsi="方正仿宋_GBK" w:eastAsia="方正仿宋_GBK" w:cs="方正仿宋_GBK"/>
          <w:sz w:val="32"/>
          <w:szCs w:val="32"/>
        </w:rPr>
        <w:t>舆情引导组：由县委宣传部牵头，县网信中心、公安局、文化旅游局、卫生健康局、市场监管局等部门组成。负责事件处置过程中的舆情监测、新闻发布、宣传报道和舆情引导等工作。</w:t>
      </w:r>
    </w:p>
    <w:p>
      <w:pPr>
        <w:overflowPunct w:val="0"/>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2.1.2.5 </w:t>
      </w:r>
      <w:r>
        <w:rPr>
          <w:rFonts w:hint="eastAsia" w:ascii="方正仿宋_GBK" w:hAnsi="方正仿宋_GBK" w:eastAsia="方正仿宋_GBK" w:cs="方正仿宋_GBK"/>
          <w:sz w:val="32"/>
          <w:szCs w:val="32"/>
        </w:rPr>
        <w:t>事件调查组：由县市场监管局牵头，县公安局、卫生健康局等部门组成。负责调查疫苗安全事件的发生原因，评估事件影响，做出调查结论，提出防范意见；根据实际需要，事件调查组可设置在事发地或派员赴现场开展调查。必要时可邀请有关技术专家参加调查组。对涉嫌犯罪的，由县公安局负责督促、指导涉案地公安机关立案侦办，查清事实，依法追究刑事责任。</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2.1.2.6 </w:t>
      </w:r>
      <w:r>
        <w:rPr>
          <w:rFonts w:hint="eastAsia" w:ascii="方正仿宋_GBK" w:hAnsi="方正仿宋_GBK" w:eastAsia="方正仿宋_GBK" w:cs="方正仿宋_GBK"/>
          <w:sz w:val="32"/>
          <w:szCs w:val="32"/>
        </w:rPr>
        <w:t>社会稳定组：由县公安局牵头，县司法局、卫生健康局、市场监管局、信访局等部门组成。严厉打击借机传播疫苗、疫情谣言制造社会恐慌、哄抢物资等违法犯罪行为；加强救助患者的医疗机构、涉事企业、接种单位等重点地区单位的治安秩序维护；依法妥善处置群体性事件；做好因疫苗引发的不稳定因素收集，配合主管部门化解矛盾纠纷，开展法律服务，引导患者亲属依法维权，维护社会稳定。</w:t>
      </w:r>
    </w:p>
    <w:p>
      <w:pPr>
        <w:overflowPunct w:val="0"/>
        <w:spacing w:line="560" w:lineRule="exact"/>
        <w:ind w:firstLine="63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2.1.2.7 </w:t>
      </w:r>
      <w:r>
        <w:rPr>
          <w:rFonts w:hint="eastAsia" w:ascii="方正仿宋_GBK" w:hAnsi="方正仿宋_GBK" w:eastAsia="方正仿宋_GBK" w:cs="方正仿宋_GBK"/>
          <w:sz w:val="32"/>
          <w:szCs w:val="32"/>
        </w:rPr>
        <w:t>专家组：一般及以上级别疫苗安全事件发生后，由市市场监管局牵头从市药品专家库中遴选相关专家成立市疫苗安全应急专家组。县指挥部完善相关咨询机制，为一般及以上级别疫苗安全事件应急工作提供技术支持。</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2.2</w:t>
      </w:r>
      <w:r>
        <w:rPr>
          <w:rFonts w:ascii="黑体" w:hAnsi="黑体" w:eastAsia="黑体" w:cs="黑体"/>
          <w:sz w:val="32"/>
          <w:szCs w:val="32"/>
        </w:rPr>
        <w:t xml:space="preserve"> </w:t>
      </w:r>
      <w:r>
        <w:rPr>
          <w:rFonts w:hint="eastAsia" w:ascii="楷体" w:hAnsi="楷体" w:eastAsia="楷体" w:cs="楷体"/>
          <w:sz w:val="32"/>
          <w:szCs w:val="32"/>
        </w:rPr>
        <w:t>技术支撑机构</w:t>
      </w:r>
    </w:p>
    <w:p>
      <w:pPr>
        <w:overflowPunct w:val="0"/>
        <w:spacing w:line="560" w:lineRule="exact"/>
        <w:ind w:firstLine="63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2.2.1</w:t>
      </w:r>
      <w:r>
        <w:rPr>
          <w:rFonts w:ascii="黑体" w:hAnsi="黑体" w:eastAsia="黑体" w:cs="黑体"/>
          <w:sz w:val="32"/>
          <w:szCs w:val="32"/>
        </w:rPr>
        <w:t xml:space="preserve"> </w:t>
      </w:r>
      <w:r>
        <w:rPr>
          <w:rFonts w:hint="eastAsia" w:ascii="方正仿宋_GBK" w:hAnsi="方正仿宋_GBK" w:eastAsia="方正仿宋_GBK" w:cs="方正仿宋_GBK"/>
          <w:sz w:val="32"/>
          <w:szCs w:val="32"/>
        </w:rPr>
        <w:t>县疾病预防控制中心：负责疑似预防接种异常反应信息收集、评价、汇总、上报工作，定期进行研究分析，必要时提出预警建议；协助开展疫苗安全事件应急知识宣传、培训。</w:t>
      </w:r>
    </w:p>
    <w:p>
      <w:pPr>
        <w:overflowPunct w:val="0"/>
        <w:spacing w:line="560" w:lineRule="exact"/>
        <w:ind w:firstLine="61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2.2.2 </w:t>
      </w:r>
      <w:r>
        <w:rPr>
          <w:rFonts w:hint="eastAsia" w:ascii="方正仿宋_GBK" w:hAnsi="方正仿宋_GBK" w:eastAsia="方正仿宋_GBK" w:cs="方正仿宋_GBK"/>
          <w:sz w:val="32"/>
          <w:szCs w:val="32"/>
        </w:rPr>
        <w:t>县药物警戒中心：负责药品不良反应信息评价、汇总、上报工作，定期进行研究分析，必要时提出预警建议；协助开展安全用药知识和疫苗安全事件应急知识宣传、培训。</w:t>
      </w:r>
    </w:p>
    <w:p>
      <w:pPr>
        <w:overflowPunct w:val="0"/>
        <w:spacing w:line="560" w:lineRule="exact"/>
        <w:ind w:firstLine="637"/>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2.2.3 </w:t>
      </w:r>
      <w:r>
        <w:rPr>
          <w:rFonts w:hint="eastAsia" w:ascii="方正仿宋_GBK" w:hAnsi="方正仿宋_GBK" w:eastAsia="方正仿宋_GBK" w:cs="方正仿宋_GBK"/>
          <w:sz w:val="32"/>
          <w:szCs w:val="32"/>
        </w:rPr>
        <w:t>县检验检测中心：协助做好相关药品抽样和封存等工作；负责对疫苗安全事件涉及的疫苗抽样送检，协调有关技术机构检验检测并出具检验检测报告。</w:t>
      </w:r>
    </w:p>
    <w:p>
      <w:pPr>
        <w:overflowPunct w:val="0"/>
        <w:spacing w:line="560" w:lineRule="exact"/>
        <w:ind w:firstLine="644"/>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2.2.4 </w:t>
      </w:r>
      <w:r>
        <w:rPr>
          <w:rFonts w:hint="eastAsia" w:ascii="方正仿宋_GBK" w:hAnsi="方正仿宋_GBK" w:eastAsia="方正仿宋_GBK" w:cs="方正仿宋_GBK"/>
          <w:sz w:val="32"/>
          <w:szCs w:val="32"/>
        </w:rPr>
        <w:t>各级医疗机构：负责事件发生后的患者救治工作；承担本单位药品不良反应和疑似预防接种异常反应监测和报告工作；配合开展临床调查，分析事件发生原因，必要时可采取暂停使用相关疫苗的紧急措施。</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2.3 </w:t>
      </w:r>
      <w:r>
        <w:rPr>
          <w:rFonts w:hint="eastAsia" w:ascii="楷体" w:hAnsi="楷体" w:eastAsia="楷体" w:cs="楷体"/>
          <w:sz w:val="32"/>
          <w:szCs w:val="32"/>
        </w:rPr>
        <w:t>乡镇组织指挥机构</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参照本预案成立相应疫苗安全事件应急指挥部和工作组，负责组织、协调和指导本区域疫苗安全事件应对工作。疫苗安全事件发生乡镇应在县指挥部统一领导下，按照属地管理原则做好疫苗安全事件应急处置工作。</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3 </w:t>
      </w:r>
      <w:r>
        <w:rPr>
          <w:rFonts w:hint="eastAsia" w:ascii="黑体" w:hAnsi="黑体" w:eastAsia="黑体" w:cs="黑体"/>
          <w:sz w:val="32"/>
          <w:szCs w:val="32"/>
        </w:rPr>
        <w:t>信息报告</w:t>
      </w:r>
    </w:p>
    <w:p>
      <w:pPr>
        <w:overflowPunct w:val="0"/>
        <w:spacing w:line="560" w:lineRule="exact"/>
        <w:ind w:firstLine="643"/>
        <w:rPr>
          <w:rFonts w:ascii="楷体" w:hAnsi="楷体" w:eastAsia="楷体" w:cs="楷体"/>
          <w:sz w:val="32"/>
          <w:szCs w:val="32"/>
        </w:rPr>
      </w:pPr>
      <w:r>
        <w:rPr>
          <w:rFonts w:ascii="楷体" w:hAnsi="楷体" w:eastAsia="楷体" w:cs="楷体"/>
          <w:sz w:val="32"/>
          <w:szCs w:val="32"/>
        </w:rPr>
        <w:t xml:space="preserve">3.1 </w:t>
      </w:r>
      <w:r>
        <w:rPr>
          <w:rFonts w:hint="eastAsia" w:ascii="楷体" w:hAnsi="楷体" w:eastAsia="楷体" w:cs="楷体"/>
          <w:sz w:val="32"/>
          <w:szCs w:val="32"/>
        </w:rPr>
        <w:t>监测</w:t>
      </w:r>
    </w:p>
    <w:p>
      <w:pPr>
        <w:overflowPunct w:val="0"/>
        <w:spacing w:line="560" w:lineRule="exact"/>
        <w:ind w:firstLine="63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县建立统一的疫苗安全风险监测组织体系和信息传递体系，完善监测制度。疫苗管理部门依职责开展日常疫苗安全监督检查、风险监测、舆情监测等工作，收集、分析和研判可能导致疫苗安全事件的风险隐患信息，必要时向相关部门和乡镇通报，相关监管部门依法采取有效控制措施。</w:t>
      </w:r>
    </w:p>
    <w:p>
      <w:pPr>
        <w:overflowPunct w:val="0"/>
        <w:spacing w:line="560" w:lineRule="exact"/>
        <w:ind w:firstLine="63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疾病预防控制机构和预防接种单位要加强疫苗接种规范管理，加强接种人员专业培训，提升预防接种服务水平。出现疫苗安全事件隐患时，要立即报告市场监管部门和相关业务监管部门。市场监管部门要会同卫生健康等部门加强对本地疫苗安全风险监测工作的管理，保证监测工作质量。</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3.1.1 </w:t>
      </w:r>
      <w:r>
        <w:rPr>
          <w:rFonts w:hint="eastAsia" w:ascii="方正仿宋_GBK" w:hAnsi="方正仿宋_GBK" w:eastAsia="方正仿宋_GBK" w:cs="方正仿宋_GBK"/>
          <w:sz w:val="32"/>
          <w:szCs w:val="32"/>
        </w:rPr>
        <w:t>报告责任主体</w:t>
      </w:r>
    </w:p>
    <w:p>
      <w:pPr>
        <w:overflowPunct w:val="0"/>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发生疫苗安全事件的疾病预防控制机构、接种单位；</w:t>
      </w:r>
    </w:p>
    <w:p>
      <w:pPr>
        <w:overflowPunct w:val="0"/>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疑似预防接种异常反应监测机构；</w:t>
      </w:r>
    </w:p>
    <w:p>
      <w:pPr>
        <w:overflowPunct w:val="0"/>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市场监管、卫生健康部门；</w:t>
      </w:r>
    </w:p>
    <w:p>
      <w:pPr>
        <w:overflowPunct w:val="0"/>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其他单位和个人。</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3.1.2 </w:t>
      </w:r>
      <w:r>
        <w:rPr>
          <w:rFonts w:hint="eastAsia" w:ascii="方正仿宋_GBK" w:hAnsi="方正仿宋_GBK" w:eastAsia="方正仿宋_GBK" w:cs="方正仿宋_GBK"/>
          <w:sz w:val="32"/>
          <w:szCs w:val="32"/>
        </w:rPr>
        <w:t>信息来源</w:t>
      </w:r>
    </w:p>
    <w:p>
      <w:pPr>
        <w:overflowPunct w:val="0"/>
        <w:spacing w:line="56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苗安全事件信息主要来源包括：发生疫苗疑似预防接种异常反应及群体不良事件，经专家调查诊断确认或怀疑与疫苗质量有关的信息；日常监督检查和风险监测中发现的疫苗安全事件信息；上级部门和县级或县外有关部门通报的疫苗安全事件信息；上级领导对疫苗安全事件的批示；群众投诉举报反映的疫苗安全事件信息；属于或可能形成疫苗安全事件的舆情信息；其他渠道获取的疫苗安全事件信息。</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3.2</w:t>
      </w:r>
      <w:r>
        <w:rPr>
          <w:rFonts w:ascii="黑体" w:hAnsi="黑体" w:eastAsia="黑体" w:cs="黑体"/>
          <w:sz w:val="32"/>
          <w:szCs w:val="32"/>
        </w:rPr>
        <w:t xml:space="preserve"> </w:t>
      </w:r>
      <w:r>
        <w:rPr>
          <w:rFonts w:hint="eastAsia" w:ascii="楷体" w:hAnsi="楷体" w:eastAsia="楷体" w:cs="楷体"/>
          <w:sz w:val="32"/>
          <w:szCs w:val="32"/>
        </w:rPr>
        <w:t>预警</w:t>
      </w:r>
    </w:p>
    <w:p>
      <w:pPr>
        <w:overflowPunct w:val="0"/>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卫生健康等部门应发挥专家组和技术支撑机构作用，根据疑似预防接种异常反应监测等多渠道获取的信息和数据，对辖区内疫苗安全事件的相关风险因素进行分析，对可能危害公众健康的风险因素、风险级别、影响范围、紧急程度和可能存在的危害提出分析评估意见。对可能发生的疫苗安全事件或接收到的有关信息，应发布疫苗风险预警或指导信息，通知下一级部门和可能发生事件单位分别采取警示、通报、暂停使用等预防措施，视情派出工作组进行现场督导，检查预防性处置措施执行情况。</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同时，及时向县人民政府和上一级市场监管、卫生健康部门报告。</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3.3</w:t>
      </w:r>
      <w:r>
        <w:rPr>
          <w:rFonts w:ascii="黑体" w:hAnsi="黑体" w:eastAsia="黑体" w:cs="黑体"/>
          <w:sz w:val="32"/>
          <w:szCs w:val="32"/>
        </w:rPr>
        <w:t xml:space="preserve"> </w:t>
      </w:r>
      <w:r>
        <w:rPr>
          <w:rFonts w:hint="eastAsia" w:ascii="楷体" w:hAnsi="楷体" w:eastAsia="楷体" w:cs="楷体"/>
          <w:sz w:val="32"/>
          <w:szCs w:val="32"/>
        </w:rPr>
        <w:t>报告</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3.3.1 </w:t>
      </w:r>
      <w:r>
        <w:rPr>
          <w:rFonts w:hint="eastAsia" w:ascii="方正仿宋_GBK" w:hAnsi="方正仿宋_GBK" w:eastAsia="方正仿宋_GBK" w:cs="方正仿宋_GBK"/>
          <w:sz w:val="32"/>
          <w:szCs w:val="32"/>
        </w:rPr>
        <w:t>报告程序和时限</w:t>
      </w:r>
    </w:p>
    <w:p>
      <w:pPr>
        <w:overflowPunct w:val="0"/>
        <w:spacing w:line="560" w:lineRule="exact"/>
        <w:ind w:firstLine="63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疾控机构、接种单位等单位或个人在发现或获知事件发生后，应按规定向所在地市场监管、卫生健康部门报告。接到报告后，市场监管、卫生健康部门应在规定时间内向本级人民政府和上级主管部门报告。市场监管、卫生健康部门在接到事件信息报告后，及时相互通报。</w:t>
      </w:r>
    </w:p>
    <w:p>
      <w:pPr>
        <w:overflowPunct w:val="0"/>
        <w:spacing w:line="560" w:lineRule="exact"/>
        <w:ind w:firstLine="63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按照由下至上逐级报告的原则，各责任主体应及时报告事件信息，紧急情况可越级报告。特别重大、重大、较大疫苗安全事件应每日报告事件进展情况，重要情况随时上报。</w:t>
      </w:r>
    </w:p>
    <w:p>
      <w:pPr>
        <w:overflowPunct w:val="0"/>
        <w:spacing w:line="560" w:lineRule="exact"/>
        <w:ind w:firstLine="65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一般应通过书面方式向上级市场监管和卫生健康部门报告疫苗安全事件信息。紧急情况下可通过电话方式报告。（报告形式见附件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p>
    <w:p>
      <w:pPr>
        <w:overflowPunct w:val="0"/>
        <w:spacing w:line="560" w:lineRule="exact"/>
        <w:ind w:firstLine="60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）初报。疑似疫苗安全事件发生后，市场监管、卫生健康部门要尽快掌握情况，及时上报事件初始信息，主要内容包括：事件发生时间、地点、当前状况、危害范围和程度</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患病人数、诊疗人数和危重人数</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、主要症状与体征；疫苗生产企业以及产品名称、批号；先期处置情况、接报途径、发展趋势以及其他应当报告的内容等。特别重大（Ⅰ级）和重大（Ⅱ级）疫苗安全事件，应在获知相关信息后</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分钟内电话报告、</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小时内书面上报；较大（Ⅲ级）疫苗安全事件，应在获知相关信息后</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小时内书面上报；一般（Ⅳ级）疫苗安全事件，应在获知相关信息后</w:t>
      </w:r>
      <w:r>
        <w:rPr>
          <w:rFonts w:ascii="方正仿宋_GBK" w:hAnsi="方正仿宋_GBK" w:eastAsia="方正仿宋_GBK" w:cs="方正仿宋_GBK"/>
          <w:sz w:val="32"/>
          <w:szCs w:val="32"/>
        </w:rPr>
        <w:t>24</w:t>
      </w:r>
      <w:r>
        <w:rPr>
          <w:rFonts w:hint="eastAsia" w:ascii="方正仿宋_GBK" w:hAnsi="方正仿宋_GBK" w:eastAsia="方正仿宋_GBK" w:cs="方正仿宋_GBK"/>
          <w:sz w:val="32"/>
          <w:szCs w:val="32"/>
        </w:rPr>
        <w:t>小时内书面上报。</w:t>
      </w:r>
    </w:p>
    <w:p>
      <w:pPr>
        <w:overflowPunct w:val="0"/>
        <w:spacing w:line="560" w:lineRule="exact"/>
        <w:ind w:firstLine="61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续报。续报是事发地市场监管、卫生健康部门在事件处置过程中的阶段性报告，主要内容包括：事件进展、调查处置（流行病学调查等）情况、舆情研判、原因分析、事件影响评估、后续应对措施等信息。初报后，市场监管、卫生健康部门要加强相关情况的跟踪核实，组织分析研判，根据事件发展、应急处置等情况，及时续报有关信息。续报可根据事件进展多次进行，直至事件调查处理结束。特别重大及重大疫苗安全事件每天至少上报一次信息，在处置过程中取得重大进展或可确定关键性信息的，应随时上报进展情况。</w:t>
      </w:r>
    </w:p>
    <w:p>
      <w:pPr>
        <w:overflowPunct w:val="0"/>
        <w:spacing w:line="560" w:lineRule="exact"/>
        <w:ind w:firstLine="61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）终报。终报是事发地市场监管、卫生健康部门在事件处置结束后的总结评估报告，主要内容包括：基本情况、事件定性、应对情况、原因分析、责任追究</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认定</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、类似事件预防措施等内容，并附流行病学调查报告；对事件应对处置过程中的经验和存在问题进行总结评估，并提出今后防范类似事件发生的措施和建议。应于突发事件处置结束后</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个工作日内上报。</w:t>
      </w:r>
    </w:p>
    <w:p>
      <w:pPr>
        <w:overflowPunct w:val="0"/>
        <w:spacing w:line="560" w:lineRule="exact"/>
        <w:ind w:firstLine="61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）核报。接到上级要求核报的信息，事发地市场监管、卫生健康部门要迅速核实，按时限要求反馈相关情况。原则上对当地人民政府和上级市场监管、卫生健康部门要求核报的信息，应在</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分钟内电话反馈；明确要求上报书面信息的，应在</w:t>
      </w:r>
      <w:r>
        <w:rPr>
          <w:rFonts w:ascii="方正仿宋_GBK" w:hAnsi="方正仿宋_GBK" w:eastAsia="方正仿宋_GBK" w:cs="方正仿宋_GBK"/>
          <w:sz w:val="32"/>
          <w:szCs w:val="32"/>
        </w:rPr>
        <w:t>60</w:t>
      </w:r>
      <w:r>
        <w:rPr>
          <w:rFonts w:hint="eastAsia" w:ascii="方正仿宋_GBK" w:hAnsi="方正仿宋_GBK" w:eastAsia="方正仿宋_GBK" w:cs="方正仿宋_GBK"/>
          <w:sz w:val="32"/>
          <w:szCs w:val="32"/>
        </w:rPr>
        <w:t>分钟内上报。</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3.3.2</w:t>
      </w:r>
      <w:r>
        <w:rPr>
          <w:rFonts w:ascii="黑体" w:hAnsi="黑体" w:eastAsia="黑体" w:cs="黑体"/>
          <w:sz w:val="32"/>
          <w:szCs w:val="32"/>
        </w:rPr>
        <w:t xml:space="preserve"> </w:t>
      </w:r>
      <w:r>
        <w:rPr>
          <w:rFonts w:hint="eastAsia" w:ascii="方正仿宋_GBK" w:hAnsi="方正仿宋_GBK" w:eastAsia="方正仿宋_GBK" w:cs="方正仿宋_GBK"/>
          <w:sz w:val="32"/>
          <w:szCs w:val="32"/>
        </w:rPr>
        <w:t>报告内容和方式</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向市场监管、卫生健康部门报告疫苗安全事件信息的，以《疫苗安全重大信息报告表》形式报送，分为初报和续报（见附件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）。向当地人民政府报告疫苗安全事件信息的，以《疫苗安全事件信息报告》（见附件</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）形式报送。</w:t>
      </w:r>
    </w:p>
    <w:p>
      <w:pPr>
        <w:overflowPunct w:val="0"/>
        <w:spacing w:line="560" w:lineRule="exact"/>
        <w:ind w:firstLine="63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事件信息报告一般采取传真形式。报送信息时，可先通过电话、短信等形式先行报告事件主要情况，后续及时报送相关书面材料，报告时应确保信息核收无误。涉密信息的报告按保密有关规定执行。</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3.4</w:t>
      </w:r>
      <w:r>
        <w:rPr>
          <w:rFonts w:ascii="黑体" w:hAnsi="黑体" w:eastAsia="黑体" w:cs="黑体"/>
          <w:sz w:val="32"/>
          <w:szCs w:val="32"/>
        </w:rPr>
        <w:t xml:space="preserve"> </w:t>
      </w:r>
      <w:r>
        <w:rPr>
          <w:rFonts w:hint="eastAsia" w:ascii="楷体" w:hAnsi="楷体" w:eastAsia="楷体" w:cs="楷体"/>
          <w:sz w:val="32"/>
          <w:szCs w:val="32"/>
        </w:rPr>
        <w:t>事件评估</w:t>
      </w:r>
    </w:p>
    <w:p>
      <w:pPr>
        <w:overflowPunct w:val="0"/>
        <w:spacing w:line="560" w:lineRule="exact"/>
        <w:ind w:firstLine="64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苗安全事件发生后，市场监管、卫生健康部门依法组织开展事件评估，初步判定是否为疫苗安全事件，并核定事件级别，将相关情况报同级指挥部，由指挥部向同级人民政府提出启动应急响应建议。评估内容主要包括：</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）可能导致的健康危害及涉及范围，是否已造成健康危害后果及严重程度；</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）事件影响范围及严重程度；</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）事件发展蔓延趋势。</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4 </w:t>
      </w:r>
      <w:r>
        <w:rPr>
          <w:rFonts w:hint="eastAsia" w:ascii="黑体" w:hAnsi="黑体" w:eastAsia="黑体" w:cs="黑体"/>
          <w:sz w:val="32"/>
          <w:szCs w:val="32"/>
        </w:rPr>
        <w:t>分级响应</w:t>
      </w:r>
    </w:p>
    <w:p>
      <w:pPr>
        <w:overflowPunct w:val="0"/>
        <w:spacing w:line="560" w:lineRule="exact"/>
        <w:ind w:firstLine="62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根据发生的疫苗安全事件的严重程度和发展态势，将应急响应设定为Ⅰ级、Ⅱ级、Ⅲ级和Ⅳ级四个等级。</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4.1 </w:t>
      </w:r>
      <w:r>
        <w:rPr>
          <w:rFonts w:hint="eastAsia" w:ascii="楷体" w:hAnsi="楷体" w:eastAsia="楷体" w:cs="楷体"/>
          <w:sz w:val="32"/>
          <w:szCs w:val="32"/>
        </w:rPr>
        <w:t>Ⅰ级、Ⅱ级、Ⅲ级响应</w:t>
      </w:r>
    </w:p>
    <w:p>
      <w:pPr>
        <w:overflowPunct w:val="0"/>
        <w:spacing w:line="560" w:lineRule="exact"/>
        <w:ind w:firstLine="63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发生特别重大、重大、较大疫苗安全事件时，分别按照国务院或疫苗管理部际联席会议、国家药监局、省药监局作出的决定，启动Ⅰ级、Ⅱ级、Ⅲ级应急响应，</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市、县（区）指挥部按照国家、省应急领导工作的统一指挥和工作程序开展处置工作。</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4.2</w:t>
      </w:r>
      <w:r>
        <w:rPr>
          <w:rFonts w:ascii="黑体" w:hAnsi="黑体" w:eastAsia="黑体" w:cs="黑体"/>
          <w:sz w:val="32"/>
          <w:szCs w:val="32"/>
        </w:rPr>
        <w:t xml:space="preserve"> </w:t>
      </w:r>
      <w:r>
        <w:rPr>
          <w:rFonts w:hint="eastAsia" w:ascii="楷体" w:hAnsi="楷体" w:eastAsia="楷体" w:cs="楷体"/>
          <w:sz w:val="32"/>
          <w:szCs w:val="32"/>
        </w:rPr>
        <w:t>Ⅳ级响应</w:t>
      </w:r>
    </w:p>
    <w:p>
      <w:pPr>
        <w:overflowPunct w:val="0"/>
        <w:spacing w:line="560" w:lineRule="exact"/>
        <w:ind w:firstLine="63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发生一般疫苗安全事件，由市市场监管局、市卫生健康委及时请示市政府成立市指挥部，Ⅳ级响应由市指挥部作出启动决定。县市场监管局、卫生健康局应及时请示县政府成立县指挥部。工作程序与要求如下：</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）市指挥部召开会议，讨论并作出启动Ⅳ级响应的决定。</w:t>
      </w:r>
    </w:p>
    <w:p>
      <w:pPr>
        <w:overflowPunct w:val="0"/>
        <w:spacing w:line="560" w:lineRule="exact"/>
        <w:ind w:firstLine="61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）市指挥部将启动Ⅳ级响应的原因及下一步工作措施分别报省级药品监管、卫生健康部门。</w:t>
      </w:r>
    </w:p>
    <w:p>
      <w:pPr>
        <w:overflowPunct w:val="0"/>
        <w:spacing w:line="560" w:lineRule="exact"/>
        <w:ind w:firstLine="60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）县指挥部按照市指挥部的要求开展工作。工作组组长由牵头单位主要负责人担任。各工作组指定一名联络员，负责各工作组之间的沟通联络工作。</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4.3</w:t>
      </w:r>
      <w:r>
        <w:rPr>
          <w:rFonts w:ascii="黑体" w:hAnsi="黑体" w:eastAsia="黑体" w:cs="黑体"/>
          <w:sz w:val="32"/>
          <w:szCs w:val="32"/>
        </w:rPr>
        <w:t xml:space="preserve"> </w:t>
      </w:r>
      <w:r>
        <w:rPr>
          <w:rFonts w:hint="eastAsia" w:ascii="楷体" w:hAnsi="楷体" w:eastAsia="楷体" w:cs="楷体"/>
          <w:sz w:val="32"/>
          <w:szCs w:val="32"/>
        </w:rPr>
        <w:t>响应措施</w:t>
      </w:r>
    </w:p>
    <w:p>
      <w:pPr>
        <w:overflowPunct w:val="0"/>
        <w:spacing w:line="560" w:lineRule="exact"/>
        <w:ind w:firstLine="618"/>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4.3.1 </w:t>
      </w:r>
      <w:r>
        <w:rPr>
          <w:rFonts w:hint="eastAsia" w:ascii="方正仿宋_GBK" w:hAnsi="方正仿宋_GBK" w:eastAsia="方正仿宋_GBK" w:cs="方正仿宋_GBK"/>
          <w:sz w:val="32"/>
          <w:szCs w:val="32"/>
        </w:rPr>
        <w:t>县指挥部及时将有关情况报告县人民政府、上一级市场监管、卫生健康部门，并及时续报有关情况。</w:t>
      </w:r>
    </w:p>
    <w:p>
      <w:pPr>
        <w:overflowPunct w:val="0"/>
        <w:spacing w:line="560" w:lineRule="exact"/>
        <w:ind w:firstLine="64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4.3.2 </w:t>
      </w:r>
      <w:r>
        <w:rPr>
          <w:rFonts w:hint="eastAsia" w:ascii="方正仿宋_GBK" w:hAnsi="方正仿宋_GBK" w:eastAsia="方正仿宋_GBK" w:cs="方正仿宋_GBK"/>
          <w:sz w:val="32"/>
          <w:szCs w:val="32"/>
        </w:rPr>
        <w:t>县指挥部各成员单位、各工作组于每日将工作信息报综合协调组，重大紧急情况应即时报送。综合协调组每日编发《疫苗安全事件信息报告》，报送县委、县政府，分送县指挥部各成员单位。</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4.3.3 </w:t>
      </w:r>
      <w:r>
        <w:rPr>
          <w:rFonts w:hint="eastAsia" w:ascii="方正仿宋_GBK" w:hAnsi="方正仿宋_GBK" w:eastAsia="方正仿宋_GBK" w:cs="方正仿宋_GBK"/>
          <w:sz w:val="32"/>
          <w:szCs w:val="32"/>
        </w:rPr>
        <w:t>县指挥部定期召开会议，通报工作进展情况，研究部署应急处置工作重大事项。</w:t>
      </w:r>
    </w:p>
    <w:p>
      <w:pPr>
        <w:overflowPunct w:val="0"/>
        <w:spacing w:line="560" w:lineRule="exact"/>
        <w:ind w:firstLine="645"/>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4.3.4 </w:t>
      </w:r>
      <w:r>
        <w:rPr>
          <w:rFonts w:hint="eastAsia" w:ascii="方正仿宋_GBK" w:hAnsi="方正仿宋_GBK" w:eastAsia="方正仿宋_GBK" w:cs="方正仿宋_GBK"/>
          <w:sz w:val="32"/>
          <w:szCs w:val="32"/>
        </w:rPr>
        <w:t>根据患者救治情况，医疗救治组协调派出医疗专家赶赴事发地指导医疗救治工作。</w:t>
      </w:r>
    </w:p>
    <w:p>
      <w:pPr>
        <w:overflowPunct w:val="0"/>
        <w:spacing w:line="560" w:lineRule="exact"/>
        <w:ind w:firstLine="645"/>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4.3.5 </w:t>
      </w:r>
      <w:r>
        <w:rPr>
          <w:rFonts w:hint="eastAsia" w:ascii="方正仿宋_GBK" w:hAnsi="方正仿宋_GBK" w:eastAsia="方正仿宋_GBK" w:cs="方正仿宋_GBK"/>
          <w:sz w:val="32"/>
          <w:szCs w:val="32"/>
        </w:rPr>
        <w:t>根据事件情况，派出事件调查组、专家组到事发地指导处置；县指挥部负责人视情赶赴事发地现场指挥。</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4.3.6 </w:t>
      </w:r>
      <w:r>
        <w:rPr>
          <w:rFonts w:hint="eastAsia" w:ascii="方正仿宋_GBK" w:hAnsi="方正仿宋_GBK" w:eastAsia="方正仿宋_GBK" w:cs="方正仿宋_GBK"/>
          <w:sz w:val="32"/>
          <w:szCs w:val="32"/>
        </w:rPr>
        <w:t>对事发地在我县、涉事疫苗上市许可持有人在外地的，上报市市场监管局及时通报涉事疫苗上市许可持有人所在地的药品监督管理部门并提出应急处置配合要求。</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4.3.7 </w:t>
      </w:r>
      <w:r>
        <w:rPr>
          <w:rFonts w:hint="eastAsia" w:ascii="方正仿宋_GBK" w:hAnsi="方正仿宋_GBK" w:eastAsia="方正仿宋_GBK" w:cs="方正仿宋_GBK"/>
          <w:sz w:val="32"/>
          <w:szCs w:val="32"/>
        </w:rPr>
        <w:t>危害控制组核实涉事疫苗的品种及生产批号，指导相关部门、医疗机构和生产经营单位依法采取封存、溯源、流向追踪等紧急控制措施；组织对相关疫苗进行抽样送检。</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4.3.8 </w:t>
      </w:r>
      <w:r>
        <w:rPr>
          <w:rFonts w:hint="eastAsia" w:ascii="方正仿宋_GBK" w:hAnsi="方正仿宋_GBK" w:eastAsia="方正仿宋_GBK" w:cs="方正仿宋_GBK"/>
          <w:sz w:val="32"/>
          <w:szCs w:val="32"/>
        </w:rPr>
        <w:t>根据调查进展情况，事件调查组适时组织召开专家组会议，对事件性质、原因进行研判，作出研判结论。</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4.3.9 </w:t>
      </w:r>
      <w:r>
        <w:rPr>
          <w:rFonts w:hint="eastAsia" w:ascii="方正仿宋_GBK" w:hAnsi="方正仿宋_GBK" w:eastAsia="方正仿宋_GBK" w:cs="方正仿宋_GBK"/>
          <w:sz w:val="32"/>
          <w:szCs w:val="32"/>
        </w:rPr>
        <w:t>舆情引导组及时向社会发布警示信息，设立并对外公布咨询电话；制定新闻报道方案，及时、客观、准确地发布事件信息；密切关注社会及网络舆情，做好舆论引导工作。</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4.3.10 </w:t>
      </w:r>
      <w:r>
        <w:rPr>
          <w:rFonts w:hint="eastAsia" w:ascii="方正仿宋_GBK" w:hAnsi="方正仿宋_GBK" w:eastAsia="方正仿宋_GBK" w:cs="方正仿宋_GBK"/>
          <w:sz w:val="32"/>
          <w:szCs w:val="32"/>
        </w:rPr>
        <w:t>社会稳定组密切关注社会动态，做好疫苗接种者亲属安抚、信访接访等工作，确保社会稳定。</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4.4</w:t>
      </w:r>
      <w:r>
        <w:rPr>
          <w:rFonts w:ascii="黑体" w:hAnsi="黑体" w:eastAsia="黑体" w:cs="黑体"/>
          <w:sz w:val="32"/>
          <w:szCs w:val="32"/>
        </w:rPr>
        <w:t xml:space="preserve"> </w:t>
      </w:r>
      <w:r>
        <w:rPr>
          <w:rFonts w:hint="eastAsia" w:ascii="楷体" w:hAnsi="楷体" w:eastAsia="楷体" w:cs="楷体"/>
          <w:sz w:val="32"/>
          <w:szCs w:val="32"/>
        </w:rPr>
        <w:t>响应结束</w:t>
      </w:r>
    </w:p>
    <w:p>
      <w:pPr>
        <w:overflowPunct w:val="0"/>
        <w:spacing w:line="560" w:lineRule="exact"/>
        <w:ind w:firstLine="64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事件原因调查清楚、安全隐患或相关危害因素得到消除或处置结束后，市指挥部宣布Ⅳ级响应结束，解除应急状态；及时向省药品监管、卫生健康部门报告终止Ⅳ级响应的决定；县指挥部做好后续工作。</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4.5</w:t>
      </w:r>
      <w:r>
        <w:rPr>
          <w:rFonts w:ascii="黑体" w:hAnsi="黑体" w:eastAsia="黑体" w:cs="黑体"/>
          <w:sz w:val="32"/>
          <w:szCs w:val="32"/>
        </w:rPr>
        <w:t xml:space="preserve"> </w:t>
      </w:r>
      <w:r>
        <w:rPr>
          <w:rFonts w:hint="eastAsia" w:ascii="楷体" w:hAnsi="楷体" w:eastAsia="楷体" w:cs="楷体"/>
          <w:sz w:val="32"/>
          <w:szCs w:val="32"/>
        </w:rPr>
        <w:t>信息发布</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4.5.1 </w:t>
      </w:r>
      <w:r>
        <w:rPr>
          <w:rFonts w:hint="eastAsia" w:ascii="方正仿宋_GBK" w:hAnsi="方正仿宋_GBK" w:eastAsia="方正仿宋_GBK" w:cs="方正仿宋_GBK"/>
          <w:sz w:val="32"/>
          <w:szCs w:val="32"/>
        </w:rPr>
        <w:t>发布原则</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坚持实事求是、及时准确、科学公正的原则。信息发布应当严格遵照《中华人民共和国疫苗管理法》第七十六条相关规定。</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4.5.2 </w:t>
      </w:r>
      <w:r>
        <w:rPr>
          <w:rFonts w:hint="eastAsia" w:ascii="方正仿宋_GBK" w:hAnsi="方正仿宋_GBK" w:eastAsia="方正仿宋_GBK" w:cs="方正仿宋_GBK"/>
          <w:sz w:val="32"/>
          <w:szCs w:val="32"/>
        </w:rPr>
        <w:t>发布要求</w:t>
      </w:r>
    </w:p>
    <w:p>
      <w:pPr>
        <w:overflowPunct w:val="0"/>
        <w:spacing w:line="560" w:lineRule="exact"/>
        <w:ind w:firstLine="64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Ⅰ级响应由国务院以及国家疫苗管理部际联席会议统筹发布相关信息。</w:t>
      </w:r>
    </w:p>
    <w:p>
      <w:pPr>
        <w:overflowPunct w:val="0"/>
        <w:spacing w:line="560" w:lineRule="exact"/>
        <w:ind w:firstLine="64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Ⅱ级响应由国家药品监督管理局发布相关信息。</w:t>
      </w:r>
    </w:p>
    <w:p>
      <w:pPr>
        <w:overflowPunct w:val="0"/>
        <w:spacing w:line="560" w:lineRule="exact"/>
        <w:ind w:firstLine="64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Ⅲ级响应、Ⅳ级响应由宣布启动应急响应的指挥部按预案要求发布相关信息。</w:t>
      </w:r>
    </w:p>
    <w:p>
      <w:pPr>
        <w:overflowPunct w:val="0"/>
        <w:spacing w:line="560" w:lineRule="exact"/>
        <w:ind w:firstLine="64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未经授权，其他单位及个人无权发布疫苗安全事件信息。</w:t>
      </w:r>
    </w:p>
    <w:p>
      <w:pPr>
        <w:overflowPunct w:val="0"/>
        <w:spacing w:line="56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4.5.3 </w:t>
      </w:r>
      <w:r>
        <w:rPr>
          <w:rFonts w:hint="eastAsia" w:ascii="方正仿宋_GBK" w:hAnsi="方正仿宋_GBK" w:eastAsia="方正仿宋_GBK" w:cs="方正仿宋_GBK"/>
          <w:sz w:val="32"/>
          <w:szCs w:val="32"/>
        </w:rPr>
        <w:t>发布形式</w:t>
      </w:r>
    </w:p>
    <w:p>
      <w:pPr>
        <w:overflowPunct w:val="0"/>
        <w:spacing w:line="560" w:lineRule="exact"/>
        <w:ind w:firstLine="63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信息发布包括授权发布、组织报道、接受记者采访、举行新闻发布会、重点新闻网站或政府网站报道等形式。</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5 </w:t>
      </w:r>
      <w:r>
        <w:rPr>
          <w:rFonts w:hint="eastAsia" w:ascii="黑体" w:hAnsi="黑体" w:eastAsia="黑体" w:cs="黑体"/>
          <w:sz w:val="32"/>
          <w:szCs w:val="32"/>
        </w:rPr>
        <w:t>风险沟通</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5.1</w:t>
      </w:r>
      <w:r>
        <w:rPr>
          <w:rFonts w:ascii="黑体" w:hAnsi="黑体" w:eastAsia="黑体" w:cs="黑体"/>
          <w:sz w:val="32"/>
          <w:szCs w:val="32"/>
        </w:rPr>
        <w:t xml:space="preserve"> </w:t>
      </w:r>
      <w:r>
        <w:rPr>
          <w:rFonts w:hint="eastAsia" w:ascii="楷体" w:hAnsi="楷体" w:eastAsia="楷体" w:cs="楷体"/>
          <w:sz w:val="32"/>
          <w:szCs w:val="32"/>
        </w:rPr>
        <w:t>沟通目的</w:t>
      </w:r>
    </w:p>
    <w:p>
      <w:pPr>
        <w:overflowPunct w:val="0"/>
        <w:spacing w:line="560" w:lineRule="exact"/>
        <w:ind w:firstLine="64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回应社会关切，加强正面引导，避免谣言传播，营造良好的舆论环境。</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5.2</w:t>
      </w:r>
      <w:r>
        <w:rPr>
          <w:rFonts w:ascii="黑体" w:hAnsi="黑体" w:eastAsia="黑体" w:cs="黑体"/>
          <w:sz w:val="32"/>
          <w:szCs w:val="32"/>
        </w:rPr>
        <w:t xml:space="preserve"> </w:t>
      </w:r>
      <w:r>
        <w:rPr>
          <w:rFonts w:hint="eastAsia" w:ascii="楷体" w:hAnsi="楷体" w:eastAsia="楷体" w:cs="楷体"/>
          <w:sz w:val="32"/>
          <w:szCs w:val="32"/>
        </w:rPr>
        <w:t>沟通原则</w:t>
      </w:r>
    </w:p>
    <w:p>
      <w:pPr>
        <w:overflowPunct w:val="0"/>
        <w:spacing w:line="560" w:lineRule="exact"/>
        <w:ind w:firstLine="63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遵循积极准备、及时主动、信息真实、口径一致、注重关切的基本原则。</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5.3</w:t>
      </w:r>
      <w:r>
        <w:rPr>
          <w:rFonts w:ascii="黑体" w:hAnsi="黑体" w:eastAsia="黑体" w:cs="黑体"/>
          <w:sz w:val="32"/>
          <w:szCs w:val="32"/>
        </w:rPr>
        <w:t xml:space="preserve"> </w:t>
      </w:r>
      <w:r>
        <w:rPr>
          <w:rFonts w:hint="eastAsia" w:ascii="楷体" w:hAnsi="楷体" w:eastAsia="楷体" w:cs="楷体"/>
          <w:sz w:val="32"/>
          <w:szCs w:val="32"/>
        </w:rPr>
        <w:t>沟通方式</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Ⅰ级响应按照国务院及国家疫苗管理部际联席会议要求，国家药品监督管理局做好相应风险沟通；Ⅱ级响应由国家药品监督管理局指定专人对外进行风险沟通；Ⅲ级响应按照省预案要求对外进行风险沟通；Ⅳ级响应按照本预案要求对外进行风险沟通。沟通方式包括新闻发布会、电视访谈、书面采访等。</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6 </w:t>
      </w:r>
      <w:r>
        <w:rPr>
          <w:rFonts w:hint="eastAsia" w:ascii="黑体" w:hAnsi="黑体" w:eastAsia="黑体" w:cs="黑体"/>
          <w:sz w:val="32"/>
          <w:szCs w:val="32"/>
        </w:rPr>
        <w:t>后期处置</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6.1</w:t>
      </w:r>
      <w:r>
        <w:rPr>
          <w:rFonts w:ascii="黑体" w:hAnsi="黑体" w:eastAsia="黑体" w:cs="黑体"/>
          <w:sz w:val="32"/>
          <w:szCs w:val="32"/>
        </w:rPr>
        <w:t xml:space="preserve"> </w:t>
      </w:r>
      <w:r>
        <w:rPr>
          <w:rFonts w:hint="eastAsia" w:ascii="楷体" w:hAnsi="楷体" w:eastAsia="楷体" w:cs="楷体"/>
          <w:sz w:val="32"/>
          <w:szCs w:val="32"/>
        </w:rPr>
        <w:t>事件评估</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各级指挥部及时组织相关部门、工作组进行评估，按规定及时对疫苗安全事件做出客观、真实、全面的调查评估，包括事件的起因、性质、影响、后果、责任等基本情况，事件结论及风险评估情况。</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6.2 </w:t>
      </w:r>
      <w:r>
        <w:rPr>
          <w:rFonts w:hint="eastAsia" w:ascii="楷体" w:hAnsi="楷体" w:eastAsia="楷体" w:cs="楷体"/>
          <w:sz w:val="32"/>
          <w:szCs w:val="32"/>
        </w:rPr>
        <w:t>工作总结</w:t>
      </w:r>
    </w:p>
    <w:p>
      <w:pPr>
        <w:overflowPunct w:val="0"/>
        <w:spacing w:line="560" w:lineRule="exact"/>
        <w:ind w:firstLine="64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疫苗安全事件应急处置结束后，各级指挥部要及时对事件发生的经过、采取的主要措施、处置工作情况、原因分析、主要做法进行总结，并提出改进措施。</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6.3 </w:t>
      </w:r>
      <w:r>
        <w:rPr>
          <w:rFonts w:hint="eastAsia" w:ascii="楷体" w:hAnsi="楷体" w:eastAsia="楷体" w:cs="楷体"/>
          <w:sz w:val="32"/>
          <w:szCs w:val="32"/>
        </w:rPr>
        <w:t>善后与恢复</w:t>
      </w:r>
    </w:p>
    <w:p>
      <w:pPr>
        <w:overflowPunct w:val="0"/>
        <w:spacing w:line="560" w:lineRule="exact"/>
        <w:ind w:firstLine="62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指挥部根据疫苗安全事件危害程度及造成的损失，提出善后处理意见，并报同级人民政府批准。事发乡镇人民政府负责组织善后处置工作，包括受害及受影响人员的处置、慰问、医疗救治、赔（补）偿、征用物资和救援费用补偿等事项，尽快消除影响，恢复生产经营秩序，确保社会稳定。</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7 </w:t>
      </w:r>
      <w:r>
        <w:rPr>
          <w:rFonts w:hint="eastAsia" w:ascii="黑体" w:hAnsi="黑体" w:eastAsia="黑体" w:cs="黑体"/>
          <w:sz w:val="32"/>
          <w:szCs w:val="32"/>
        </w:rPr>
        <w:t>保障措施</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7.1 </w:t>
      </w:r>
      <w:r>
        <w:rPr>
          <w:rFonts w:hint="eastAsia" w:ascii="楷体" w:hAnsi="楷体" w:eastAsia="楷体" w:cs="楷体"/>
          <w:sz w:val="32"/>
          <w:szCs w:val="32"/>
        </w:rPr>
        <w:t>信息保障</w:t>
      </w:r>
    </w:p>
    <w:p>
      <w:pPr>
        <w:overflowPunct w:val="0"/>
        <w:spacing w:line="560" w:lineRule="exact"/>
        <w:ind w:firstLine="63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各级疫苗安全事件信息监测机构要建立健全信息收集、报送体系，密切关注苗头性、倾向性问题，确保事件发生时信息报送准确、及时。发现发布不实信息、散布谣言等情况，应及时通报相关部门。</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7.2 </w:t>
      </w:r>
      <w:r>
        <w:rPr>
          <w:rFonts w:hint="eastAsia" w:ascii="楷体" w:hAnsi="楷体" w:eastAsia="楷体" w:cs="楷体"/>
          <w:sz w:val="32"/>
          <w:szCs w:val="32"/>
        </w:rPr>
        <w:t>人员及技术保障</w:t>
      </w:r>
    </w:p>
    <w:p>
      <w:pPr>
        <w:overflowPunct w:val="0"/>
        <w:spacing w:line="560" w:lineRule="exact"/>
        <w:ind w:firstLine="64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县市场监管、卫生健康部门要加强应急处置能力建设，提升快速应对能力和技术水平。健全专家队伍，为事件调查、风险评估等相关技术工作提供人才保障。</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7.3 </w:t>
      </w:r>
      <w:r>
        <w:rPr>
          <w:rFonts w:hint="eastAsia" w:ascii="楷体" w:hAnsi="楷体" w:eastAsia="楷体" w:cs="楷体"/>
          <w:sz w:val="32"/>
          <w:szCs w:val="32"/>
        </w:rPr>
        <w:t>物资和经费保障</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疫苗安全事件应急处置所需设施、设备和物资的储备与调用应得到保障。疫苗安全事件应急处置、产品抽样及检验等所需经费按照事权与支出责任匹配原则，纳入财政年度预算。</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8 </w:t>
      </w:r>
      <w:r>
        <w:rPr>
          <w:rFonts w:hint="eastAsia" w:ascii="黑体" w:hAnsi="黑体" w:eastAsia="黑体" w:cs="黑体"/>
          <w:sz w:val="32"/>
          <w:szCs w:val="32"/>
        </w:rPr>
        <w:t>预案管理</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8.1 </w:t>
      </w:r>
      <w:r>
        <w:rPr>
          <w:rFonts w:hint="eastAsia" w:ascii="楷体" w:hAnsi="楷体" w:eastAsia="楷体" w:cs="楷体"/>
          <w:sz w:val="32"/>
          <w:szCs w:val="32"/>
        </w:rPr>
        <w:t>预案编制</w:t>
      </w:r>
    </w:p>
    <w:p>
      <w:pPr>
        <w:overflowPunct w:val="0"/>
        <w:spacing w:line="560" w:lineRule="exact"/>
        <w:ind w:firstLine="61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结合当地实际，编制修订本地疫苗安全事件应急预案，按程序报请本级政府审批后印发实施。</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8.2 </w:t>
      </w:r>
      <w:r>
        <w:rPr>
          <w:rFonts w:hint="eastAsia" w:ascii="楷体" w:hAnsi="楷体" w:eastAsia="楷体" w:cs="楷体"/>
          <w:sz w:val="32"/>
          <w:szCs w:val="32"/>
        </w:rPr>
        <w:t>预案演练</w:t>
      </w:r>
    </w:p>
    <w:p>
      <w:pPr>
        <w:overflowPunct w:val="0"/>
        <w:spacing w:line="560" w:lineRule="exact"/>
        <w:ind w:firstLine="64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各级政府应根据实际情况采取实战演练、桌面推演等方式，每</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年组织开展形式多样、节约高效的疫苗安全事件应急培训和演练，涉及的相关部门、单位要积极配合参与。如预案发生重大调整，需及时按照新的预案开展演练。</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8.3 </w:t>
      </w:r>
      <w:r>
        <w:rPr>
          <w:rFonts w:hint="eastAsia" w:ascii="楷体" w:hAnsi="楷体" w:eastAsia="楷体" w:cs="楷体"/>
          <w:sz w:val="32"/>
          <w:szCs w:val="32"/>
        </w:rPr>
        <w:t>预案评估与修订</w:t>
      </w:r>
    </w:p>
    <w:p>
      <w:pPr>
        <w:overflowPunct w:val="0"/>
        <w:spacing w:line="560" w:lineRule="exact"/>
        <w:ind w:firstLine="63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定期分析评价预案内容的针对性、实用性和可操作性，根据实施过程中发现的问题及时修订。</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8.4 </w:t>
      </w:r>
      <w:r>
        <w:rPr>
          <w:rFonts w:hint="eastAsia" w:ascii="楷体" w:hAnsi="楷体" w:eastAsia="楷体" w:cs="楷体"/>
          <w:sz w:val="32"/>
          <w:szCs w:val="32"/>
        </w:rPr>
        <w:t>宣传和培训</w:t>
      </w:r>
    </w:p>
    <w:p>
      <w:pPr>
        <w:overflowPunct w:val="0"/>
        <w:spacing w:line="560" w:lineRule="exact"/>
        <w:ind w:firstLine="63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市场监管、卫生健康等有关部门应当对疫苗监管、疾控机构、接种单位等相关人员开展应急知识宣传、教育与培训，增强应急责任意识，提高风险意识和防范能力。</w:t>
      </w:r>
    </w:p>
    <w:p>
      <w:pPr>
        <w:overflowPunct w:val="0"/>
        <w:spacing w:line="560" w:lineRule="exact"/>
        <w:ind w:firstLine="640" w:firstLineChars="200"/>
        <w:rPr>
          <w:rFonts w:ascii="黑体" w:hAnsi="黑体" w:eastAsia="黑体" w:cs="黑体"/>
          <w:sz w:val="32"/>
          <w:szCs w:val="32"/>
        </w:rPr>
      </w:pPr>
      <w:r>
        <w:rPr>
          <w:rFonts w:ascii="黑体" w:hAnsi="黑体" w:eastAsia="黑体" w:cs="黑体"/>
          <w:sz w:val="32"/>
          <w:szCs w:val="32"/>
        </w:rPr>
        <w:t xml:space="preserve">9 </w:t>
      </w:r>
      <w:r>
        <w:rPr>
          <w:rFonts w:hint="eastAsia" w:ascii="黑体" w:hAnsi="黑体" w:eastAsia="黑体" w:cs="黑体"/>
          <w:sz w:val="32"/>
          <w:szCs w:val="32"/>
        </w:rPr>
        <w:t>附则</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9.1 </w:t>
      </w:r>
      <w:r>
        <w:rPr>
          <w:rFonts w:hint="eastAsia" w:ascii="楷体" w:hAnsi="楷体" w:eastAsia="楷体" w:cs="楷体"/>
          <w:sz w:val="32"/>
          <w:szCs w:val="32"/>
        </w:rPr>
        <w:t>预案解释</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本预案由县市场监管局会同县卫生健康局负责解释。</w:t>
      </w:r>
    </w:p>
    <w:p>
      <w:pPr>
        <w:overflowPunct w:val="0"/>
        <w:spacing w:line="560" w:lineRule="exact"/>
        <w:ind w:firstLine="640" w:firstLineChars="200"/>
        <w:rPr>
          <w:rFonts w:ascii="楷体" w:hAnsi="楷体" w:eastAsia="楷体" w:cs="楷体"/>
          <w:sz w:val="32"/>
          <w:szCs w:val="32"/>
        </w:rPr>
      </w:pPr>
      <w:r>
        <w:rPr>
          <w:rFonts w:ascii="楷体" w:hAnsi="楷体" w:eastAsia="楷体" w:cs="楷体"/>
          <w:sz w:val="32"/>
          <w:szCs w:val="32"/>
        </w:rPr>
        <w:t xml:space="preserve">9.2 </w:t>
      </w:r>
      <w:r>
        <w:rPr>
          <w:rFonts w:hint="eastAsia" w:ascii="楷体" w:hAnsi="楷体" w:eastAsia="楷体" w:cs="楷体"/>
          <w:sz w:val="32"/>
          <w:szCs w:val="32"/>
        </w:rPr>
        <w:t>预案实施</w:t>
      </w:r>
    </w:p>
    <w:p>
      <w:pPr>
        <w:overflowPunct w:val="0"/>
        <w:spacing w:line="560" w:lineRule="exact"/>
        <w:ind w:firstLine="64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本预案自发布之日起施行。</w:t>
      </w:r>
    </w:p>
    <w:p>
      <w:pPr>
        <w:overflowPunct w:val="0"/>
        <w:spacing w:line="560" w:lineRule="exact"/>
        <w:ind w:firstLine="643"/>
        <w:rPr>
          <w:rFonts w:ascii="方正仿宋_GBK" w:hAnsi="方正仿宋_GBK" w:eastAsia="方正仿宋_GBK" w:cs="方正仿宋_GBK"/>
          <w:sz w:val="32"/>
          <w:szCs w:val="32"/>
        </w:rPr>
      </w:pP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疫苗安全事件分级标准和响应级别</w:t>
      </w:r>
    </w:p>
    <w:p>
      <w:pPr>
        <w:overflowPunct w:val="0"/>
        <w:spacing w:line="560" w:lineRule="exact"/>
        <w:ind w:firstLine="1600" w:firstLineChars="5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费县疫苗安全事件应急指挥部成员单位职责</w:t>
      </w:r>
    </w:p>
    <w:p>
      <w:pPr>
        <w:overflowPunct w:val="0"/>
        <w:spacing w:line="560" w:lineRule="exact"/>
        <w:ind w:firstLine="1600" w:firstLineChars="5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疫苗安全重大信息报告表（初报）</w:t>
      </w:r>
    </w:p>
    <w:p>
      <w:pPr>
        <w:overflowPunct w:val="0"/>
        <w:spacing w:line="560" w:lineRule="exact"/>
        <w:ind w:firstLine="1600" w:firstLineChars="5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疫苗安全重大信息报告表（续报）</w:t>
      </w:r>
    </w:p>
    <w:p>
      <w:pPr>
        <w:tabs>
          <w:tab w:val="left" w:pos="5715"/>
        </w:tabs>
        <w:overflowPunct w:val="0"/>
        <w:spacing w:line="560" w:lineRule="exact"/>
        <w:ind w:firstLine="1600" w:firstLineChars="500"/>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疫苗安全事件信息报告</w:t>
      </w: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7"/>
          <w:sz w:val="32"/>
          <w:szCs w:val="32"/>
        </w:rPr>
      </w:pPr>
      <w:r>
        <w:rPr>
          <w:rFonts w:hint="eastAsia" w:ascii="黑体" w:hAnsi="黑体" w:eastAsia="黑体" w:cs="黑体"/>
          <w:spacing w:val="-9"/>
          <w:sz w:val="32"/>
          <w:szCs w:val="32"/>
        </w:rPr>
        <w:t>附</w:t>
      </w:r>
      <w:r>
        <w:rPr>
          <w:rFonts w:hint="eastAsia" w:ascii="黑体" w:hAnsi="黑体" w:eastAsia="黑体" w:cs="黑体"/>
          <w:spacing w:val="-7"/>
          <w:sz w:val="32"/>
          <w:szCs w:val="32"/>
        </w:rPr>
        <w:t>件</w:t>
      </w:r>
      <w:r>
        <w:rPr>
          <w:rFonts w:ascii="黑体" w:hAnsi="黑体" w:eastAsia="黑体" w:cs="黑体"/>
          <w:spacing w:val="-7"/>
          <w:sz w:val="32"/>
          <w:szCs w:val="32"/>
        </w:rPr>
        <w:t>1</w:t>
      </w:r>
    </w:p>
    <w:p>
      <w:pPr>
        <w:pStyle w:val="2"/>
      </w:pPr>
    </w:p>
    <w:p>
      <w:pPr>
        <w:overflowPunct w:val="0"/>
        <w:spacing w:line="560" w:lineRule="exact"/>
        <w:ind w:firstLine="481"/>
        <w:jc w:val="center"/>
        <w:rPr>
          <w:rFonts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疫苗安全事件分级标准和响应级别</w:t>
      </w:r>
    </w:p>
    <w:p>
      <w:pPr>
        <w:overflowPunct w:val="0"/>
        <w:spacing w:line="40" w:lineRule="exact"/>
      </w:pPr>
    </w:p>
    <w:tbl>
      <w:tblPr>
        <w:tblStyle w:val="7"/>
        <w:tblW w:w="10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0"/>
        <w:gridCol w:w="7171"/>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560" w:type="dxa"/>
            <w:vAlign w:val="center"/>
          </w:tcPr>
          <w:p>
            <w:pPr>
              <w:overflowPunct w:val="0"/>
              <w:spacing w:line="560" w:lineRule="exact"/>
              <w:jc w:val="center"/>
              <w:rPr>
                <w:rFonts w:ascii="黑体" w:hAnsi="黑体" w:eastAsia="黑体" w:cs="黑体"/>
                <w:sz w:val="24"/>
                <w:szCs w:val="24"/>
              </w:rPr>
            </w:pPr>
            <w:r>
              <w:rPr>
                <w:rFonts w:hint="eastAsia" w:ascii="黑体" w:hAnsi="黑体" w:eastAsia="黑体" w:cs="黑体"/>
                <w:spacing w:val="-6"/>
                <w:sz w:val="24"/>
                <w:szCs w:val="24"/>
              </w:rPr>
              <w:t>事</w:t>
            </w:r>
            <w:r>
              <w:rPr>
                <w:rFonts w:hint="eastAsia" w:ascii="黑体" w:hAnsi="黑体" w:eastAsia="黑体" w:cs="黑体"/>
                <w:spacing w:val="-3"/>
                <w:sz w:val="24"/>
                <w:szCs w:val="24"/>
              </w:rPr>
              <w:t>件类别</w:t>
            </w:r>
          </w:p>
        </w:tc>
        <w:tc>
          <w:tcPr>
            <w:tcW w:w="7171" w:type="dxa"/>
          </w:tcPr>
          <w:p>
            <w:pPr>
              <w:overflowPunct w:val="0"/>
              <w:spacing w:line="560" w:lineRule="exact"/>
              <w:jc w:val="center"/>
              <w:rPr>
                <w:rFonts w:ascii="黑体" w:hAnsi="黑体" w:eastAsia="黑体" w:cs="黑体"/>
                <w:sz w:val="24"/>
                <w:szCs w:val="24"/>
              </w:rPr>
            </w:pPr>
            <w:r>
              <w:rPr>
                <w:rFonts w:hint="eastAsia" w:ascii="黑体" w:hAnsi="黑体" w:eastAsia="黑体" w:cs="黑体"/>
                <w:spacing w:val="-6"/>
                <w:sz w:val="24"/>
                <w:szCs w:val="24"/>
              </w:rPr>
              <w:t>分</w:t>
            </w:r>
            <w:r>
              <w:rPr>
                <w:rFonts w:hint="eastAsia" w:ascii="黑体" w:hAnsi="黑体" w:eastAsia="黑体" w:cs="黑体"/>
                <w:spacing w:val="-3"/>
                <w:sz w:val="24"/>
                <w:szCs w:val="24"/>
              </w:rPr>
              <w:t>级标准</w:t>
            </w:r>
          </w:p>
        </w:tc>
        <w:tc>
          <w:tcPr>
            <w:tcW w:w="1387" w:type="dxa"/>
            <w:vAlign w:val="center"/>
          </w:tcPr>
          <w:p>
            <w:pPr>
              <w:overflowPunct w:val="0"/>
              <w:spacing w:line="560" w:lineRule="exact"/>
              <w:jc w:val="center"/>
              <w:rPr>
                <w:rFonts w:ascii="黑体" w:hAnsi="黑体" w:eastAsia="黑体" w:cs="黑体"/>
                <w:sz w:val="24"/>
                <w:szCs w:val="24"/>
              </w:rPr>
            </w:pPr>
            <w:r>
              <w:rPr>
                <w:rFonts w:hint="eastAsia" w:ascii="黑体" w:hAnsi="黑体" w:eastAsia="黑体" w:cs="黑体"/>
                <w:spacing w:val="-6"/>
                <w:sz w:val="24"/>
                <w:szCs w:val="24"/>
              </w:rPr>
              <w:t>分</w:t>
            </w:r>
            <w:r>
              <w:rPr>
                <w:rFonts w:hint="eastAsia" w:ascii="黑体" w:hAnsi="黑体" w:eastAsia="黑体" w:cs="黑体"/>
                <w:spacing w:val="-3"/>
                <w:sz w:val="24"/>
                <w:szCs w:val="24"/>
              </w:rPr>
              <w:t>级响应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4" w:hRule="atLeast"/>
          <w:jc w:val="center"/>
        </w:trPr>
        <w:tc>
          <w:tcPr>
            <w:tcW w:w="1560" w:type="dxa"/>
            <w:vAlign w:val="center"/>
          </w:tcPr>
          <w:p>
            <w:pPr>
              <w:overflowPunct w:val="0"/>
              <w:spacing w:line="320" w:lineRule="exac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特别重大疫苗安全事件</w:t>
            </w:r>
          </w:p>
        </w:tc>
        <w:tc>
          <w:tcPr>
            <w:tcW w:w="7171" w:type="dxa"/>
            <w:vAlign w:val="center"/>
          </w:tcPr>
          <w:p>
            <w:pPr>
              <w:overflowPunct w:val="0"/>
              <w:spacing w:line="320" w:lineRule="exact"/>
              <w:ind w:firstLine="481"/>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符合下列情形之一的：</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1.</w:t>
            </w:r>
            <w:r>
              <w:rPr>
                <w:rFonts w:hint="eastAsia" w:ascii="方正仿宋_GBK" w:hAnsi="方正仿宋_GBK" w:eastAsia="方正仿宋_GBK" w:cs="方正仿宋_GBK"/>
                <w:spacing w:val="-4"/>
                <w:sz w:val="24"/>
                <w:szCs w:val="24"/>
              </w:rPr>
              <w:t>同一批号疫苗引起</w:t>
            </w:r>
            <w:r>
              <w:rPr>
                <w:rFonts w:ascii="方正仿宋_GBK" w:hAnsi="方正仿宋_GBK" w:eastAsia="方正仿宋_GBK" w:cs="方正仿宋_GBK"/>
                <w:spacing w:val="-4"/>
                <w:sz w:val="24"/>
                <w:szCs w:val="24"/>
              </w:rPr>
              <w:t>5</w:t>
            </w:r>
            <w:r>
              <w:rPr>
                <w:rFonts w:hint="eastAsia" w:ascii="方正仿宋_GBK" w:hAnsi="方正仿宋_GBK" w:eastAsia="方正仿宋_GBK" w:cs="方正仿宋_GBK"/>
                <w:spacing w:val="-4"/>
                <w:sz w:val="24"/>
                <w:szCs w:val="24"/>
              </w:rPr>
              <w:t>例以上患者死亡，疑似与质量相关的事件；</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在相对集中的时间和区域内，批号相对集中的同一疫苗引起临床表现相似，且罕见或非预期不良事件人数超过</w:t>
            </w:r>
            <w:r>
              <w:rPr>
                <w:rFonts w:ascii="方正仿宋_GBK" w:hAnsi="方正仿宋_GBK" w:eastAsia="方正仿宋_GBK" w:cs="方正仿宋_GBK"/>
                <w:spacing w:val="-4"/>
                <w:sz w:val="24"/>
                <w:szCs w:val="24"/>
              </w:rPr>
              <w:t>20</w:t>
            </w:r>
            <w:r>
              <w:rPr>
                <w:rFonts w:hint="eastAsia" w:ascii="方正仿宋_GBK" w:hAnsi="方正仿宋_GBK" w:eastAsia="方正仿宋_GBK" w:cs="方正仿宋_GBK"/>
                <w:spacing w:val="-4"/>
                <w:sz w:val="24"/>
                <w:szCs w:val="24"/>
              </w:rPr>
              <w:t>人的事件；或者引起特别严重不良事件</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可能对人体造成永久性伤残、对器官功能造成永久性损伤或危及生命</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超过</w:t>
            </w:r>
            <w:r>
              <w:rPr>
                <w:rFonts w:ascii="方正仿宋_GBK" w:hAnsi="方正仿宋_GBK" w:eastAsia="方正仿宋_GBK" w:cs="方正仿宋_GBK"/>
                <w:spacing w:val="-4"/>
                <w:sz w:val="24"/>
                <w:szCs w:val="24"/>
              </w:rPr>
              <w:t>5</w:t>
            </w:r>
            <w:r>
              <w:rPr>
                <w:rFonts w:hint="eastAsia" w:ascii="方正仿宋_GBK" w:hAnsi="方正仿宋_GBK" w:eastAsia="方正仿宋_GBK" w:cs="方正仿宋_GBK"/>
                <w:spacing w:val="-4"/>
                <w:sz w:val="24"/>
                <w:szCs w:val="24"/>
              </w:rPr>
              <w:t>人，疑似与质量相关的事件；</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3.</w:t>
            </w:r>
            <w:r>
              <w:rPr>
                <w:rFonts w:hint="eastAsia" w:ascii="方正仿宋_GBK" w:hAnsi="方正仿宋_GBK" w:eastAsia="方正仿宋_GBK" w:cs="方正仿宋_GBK"/>
                <w:spacing w:val="-4"/>
                <w:sz w:val="24"/>
                <w:szCs w:val="24"/>
              </w:rPr>
              <w:t>其他危害特别严重且引发社会影响的疫苗安全事件。</w:t>
            </w:r>
          </w:p>
        </w:tc>
        <w:tc>
          <w:tcPr>
            <w:tcW w:w="1387" w:type="dxa"/>
            <w:vAlign w:val="center"/>
          </w:tcPr>
          <w:p>
            <w:pPr>
              <w:overflowPunct w:val="0"/>
              <w:spacing w:line="320" w:lineRule="exac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Ⅰ级响应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4" w:hRule="atLeast"/>
          <w:jc w:val="center"/>
        </w:trPr>
        <w:tc>
          <w:tcPr>
            <w:tcW w:w="1560" w:type="dxa"/>
            <w:vAlign w:val="center"/>
          </w:tcPr>
          <w:p>
            <w:pPr>
              <w:overflowPunct w:val="0"/>
              <w:spacing w:line="320" w:lineRule="exac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重大疫苗安全事件</w:t>
            </w:r>
          </w:p>
        </w:tc>
        <w:tc>
          <w:tcPr>
            <w:tcW w:w="7171" w:type="dxa"/>
            <w:vAlign w:val="center"/>
          </w:tcPr>
          <w:p>
            <w:pPr>
              <w:overflowPunct w:val="0"/>
              <w:spacing w:line="320" w:lineRule="exact"/>
              <w:ind w:firstLine="481"/>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符合下列情形之一的：</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1.</w:t>
            </w:r>
            <w:r>
              <w:rPr>
                <w:rFonts w:hint="eastAsia" w:ascii="方正仿宋_GBK" w:hAnsi="方正仿宋_GBK" w:eastAsia="方正仿宋_GBK" w:cs="方正仿宋_GBK"/>
                <w:spacing w:val="-4"/>
                <w:sz w:val="24"/>
                <w:szCs w:val="24"/>
              </w:rPr>
              <w:t>同一批号疫苗引起</w:t>
            </w: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例以上</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不含</w:t>
            </w: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例</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w:t>
            </w:r>
            <w:r>
              <w:rPr>
                <w:rFonts w:ascii="方正仿宋_GBK" w:hAnsi="方正仿宋_GBK" w:eastAsia="方正仿宋_GBK" w:cs="方正仿宋_GBK"/>
                <w:spacing w:val="-4"/>
                <w:sz w:val="24"/>
                <w:szCs w:val="24"/>
              </w:rPr>
              <w:t>5</w:t>
            </w:r>
            <w:r>
              <w:rPr>
                <w:rFonts w:hint="eastAsia" w:ascii="方正仿宋_GBK" w:hAnsi="方正仿宋_GBK" w:eastAsia="方正仿宋_GBK" w:cs="方正仿宋_GBK"/>
                <w:spacing w:val="-4"/>
                <w:sz w:val="24"/>
                <w:szCs w:val="24"/>
              </w:rPr>
              <w:t>例以下患者死亡，疑似与质量相关的事件；</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在相对集中的时间和区域内，批号相对集中的同一疫苗引起临床表现相似，且罕见或非预期不良事件人数超过</w:t>
            </w:r>
            <w:r>
              <w:rPr>
                <w:rFonts w:ascii="方正仿宋_GBK" w:hAnsi="方正仿宋_GBK" w:eastAsia="方正仿宋_GBK" w:cs="方正仿宋_GBK"/>
                <w:spacing w:val="-4"/>
                <w:sz w:val="24"/>
                <w:szCs w:val="24"/>
              </w:rPr>
              <w:t>10</w:t>
            </w:r>
            <w:r>
              <w:rPr>
                <w:rFonts w:hint="eastAsia" w:ascii="方正仿宋_GBK" w:hAnsi="方正仿宋_GBK" w:eastAsia="方正仿宋_GBK" w:cs="方正仿宋_GBK"/>
                <w:spacing w:val="-4"/>
                <w:sz w:val="24"/>
                <w:szCs w:val="24"/>
              </w:rPr>
              <w:t>人，不多于</w:t>
            </w:r>
            <w:r>
              <w:rPr>
                <w:rFonts w:ascii="方正仿宋_GBK" w:hAnsi="方正仿宋_GBK" w:eastAsia="方正仿宋_GBK" w:cs="方正仿宋_GBK"/>
                <w:spacing w:val="-4"/>
                <w:sz w:val="24"/>
                <w:szCs w:val="24"/>
              </w:rPr>
              <w:t>20</w:t>
            </w:r>
            <w:r>
              <w:rPr>
                <w:rFonts w:hint="eastAsia" w:ascii="方正仿宋_GBK" w:hAnsi="方正仿宋_GBK" w:eastAsia="方正仿宋_GBK" w:cs="方正仿宋_GBK"/>
                <w:spacing w:val="-4"/>
                <w:sz w:val="24"/>
                <w:szCs w:val="24"/>
              </w:rPr>
              <w:t>人的事件；或者引起特别严重不良事件</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可能对人体造成永久性伤残、对器官功能造成永久性损伤或危及生命</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超过</w:t>
            </w:r>
            <w:r>
              <w:rPr>
                <w:rFonts w:ascii="方正仿宋_GBK" w:hAnsi="方正仿宋_GBK" w:eastAsia="方正仿宋_GBK" w:cs="方正仿宋_GBK"/>
                <w:spacing w:val="-4"/>
                <w:sz w:val="24"/>
                <w:szCs w:val="24"/>
              </w:rPr>
              <w:t>3</w:t>
            </w:r>
            <w:r>
              <w:rPr>
                <w:rFonts w:hint="eastAsia" w:ascii="方正仿宋_GBK" w:hAnsi="方正仿宋_GBK" w:eastAsia="方正仿宋_GBK" w:cs="方正仿宋_GBK"/>
                <w:spacing w:val="-4"/>
                <w:sz w:val="24"/>
                <w:szCs w:val="24"/>
              </w:rPr>
              <w:t>人，不多于</w:t>
            </w:r>
            <w:r>
              <w:rPr>
                <w:rFonts w:ascii="方正仿宋_GBK" w:hAnsi="方正仿宋_GBK" w:eastAsia="方正仿宋_GBK" w:cs="方正仿宋_GBK"/>
                <w:spacing w:val="-4"/>
                <w:sz w:val="24"/>
                <w:szCs w:val="24"/>
              </w:rPr>
              <w:t>5</w:t>
            </w:r>
            <w:r>
              <w:rPr>
                <w:rFonts w:hint="eastAsia" w:ascii="方正仿宋_GBK" w:hAnsi="方正仿宋_GBK" w:eastAsia="方正仿宋_GBK" w:cs="方正仿宋_GBK"/>
                <w:spacing w:val="-4"/>
                <w:sz w:val="24"/>
                <w:szCs w:val="24"/>
              </w:rPr>
              <w:t>人，疑似与质量相关的事件；</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3.</w:t>
            </w:r>
            <w:r>
              <w:rPr>
                <w:rFonts w:hint="eastAsia" w:ascii="方正仿宋_GBK" w:hAnsi="方正仿宋_GBK" w:eastAsia="方正仿宋_GBK" w:cs="方正仿宋_GBK"/>
                <w:spacing w:val="-4"/>
                <w:sz w:val="24"/>
                <w:szCs w:val="24"/>
              </w:rPr>
              <w:t>确认出现质量问题，涉及</w:t>
            </w: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个省份的；</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4.</w:t>
            </w:r>
            <w:r>
              <w:rPr>
                <w:rFonts w:hint="eastAsia" w:ascii="方正仿宋_GBK" w:hAnsi="方正仿宋_GBK" w:eastAsia="方正仿宋_GBK" w:cs="方正仿宋_GBK"/>
                <w:spacing w:val="-4"/>
                <w:sz w:val="24"/>
                <w:szCs w:val="24"/>
              </w:rPr>
              <w:t>其他危害严重且引发社会影响的疫苗安全事件。</w:t>
            </w:r>
          </w:p>
        </w:tc>
        <w:tc>
          <w:tcPr>
            <w:tcW w:w="1387" w:type="dxa"/>
            <w:vAlign w:val="center"/>
          </w:tcPr>
          <w:p>
            <w:pPr>
              <w:overflowPunct w:val="0"/>
              <w:spacing w:line="320" w:lineRule="exac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Ⅱ级响应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9" w:hRule="atLeast"/>
          <w:jc w:val="center"/>
        </w:trPr>
        <w:tc>
          <w:tcPr>
            <w:tcW w:w="1560" w:type="dxa"/>
            <w:vAlign w:val="center"/>
          </w:tcPr>
          <w:p>
            <w:pPr>
              <w:overflowPunct w:val="0"/>
              <w:spacing w:line="320" w:lineRule="exac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较大疫苗安全事件</w:t>
            </w:r>
          </w:p>
        </w:tc>
        <w:tc>
          <w:tcPr>
            <w:tcW w:w="7171" w:type="dxa"/>
            <w:vAlign w:val="center"/>
          </w:tcPr>
          <w:p>
            <w:pPr>
              <w:overflowPunct w:val="0"/>
              <w:spacing w:line="320" w:lineRule="exact"/>
              <w:ind w:firstLine="481"/>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符合下列情形之一的：</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1.</w:t>
            </w:r>
            <w:r>
              <w:rPr>
                <w:rFonts w:hint="eastAsia" w:ascii="方正仿宋_GBK" w:hAnsi="方正仿宋_GBK" w:eastAsia="方正仿宋_GBK" w:cs="方正仿宋_GBK"/>
                <w:spacing w:val="-4"/>
                <w:sz w:val="24"/>
                <w:szCs w:val="24"/>
              </w:rPr>
              <w:t>同一批号疫苗引起</w:t>
            </w: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例患者死亡，疑似与质量相关的事件；</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在相对集中的时间和区域内，批号相对集中的同一疫苗引起临床表现相似，且罕见或非预期不良事件人数超过</w:t>
            </w:r>
            <w:r>
              <w:rPr>
                <w:rFonts w:ascii="方正仿宋_GBK" w:hAnsi="方正仿宋_GBK" w:eastAsia="方正仿宋_GBK" w:cs="方正仿宋_GBK"/>
                <w:spacing w:val="-4"/>
                <w:sz w:val="24"/>
                <w:szCs w:val="24"/>
              </w:rPr>
              <w:t>5</w:t>
            </w:r>
            <w:r>
              <w:rPr>
                <w:rFonts w:hint="eastAsia" w:ascii="方正仿宋_GBK" w:hAnsi="方正仿宋_GBK" w:eastAsia="方正仿宋_GBK" w:cs="方正仿宋_GBK"/>
                <w:spacing w:val="-4"/>
                <w:sz w:val="24"/>
                <w:szCs w:val="24"/>
              </w:rPr>
              <w:t>人，不多于</w:t>
            </w:r>
            <w:r>
              <w:rPr>
                <w:rFonts w:ascii="方正仿宋_GBK" w:hAnsi="方正仿宋_GBK" w:eastAsia="方正仿宋_GBK" w:cs="方正仿宋_GBK"/>
                <w:spacing w:val="-4"/>
                <w:sz w:val="24"/>
                <w:szCs w:val="24"/>
              </w:rPr>
              <w:t>10</w:t>
            </w:r>
            <w:r>
              <w:rPr>
                <w:rFonts w:hint="eastAsia" w:ascii="方正仿宋_GBK" w:hAnsi="方正仿宋_GBK" w:eastAsia="方正仿宋_GBK" w:cs="方正仿宋_GBK"/>
                <w:spacing w:val="-4"/>
                <w:sz w:val="24"/>
                <w:szCs w:val="24"/>
              </w:rPr>
              <w:t>人的事件；或者引起特别严重不良事件</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可能对人体造成永久性伤残、对器官功能造成永久性损伤或危及生命</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超过</w:t>
            </w: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人，疑似与质量相关的事件；</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3.</w:t>
            </w:r>
            <w:r>
              <w:rPr>
                <w:rFonts w:hint="eastAsia" w:ascii="方正仿宋_GBK" w:hAnsi="方正仿宋_GBK" w:eastAsia="方正仿宋_GBK" w:cs="方正仿宋_GBK"/>
                <w:spacing w:val="-4"/>
                <w:sz w:val="24"/>
                <w:szCs w:val="24"/>
              </w:rPr>
              <w:t>确认出现质量问题，涉及</w:t>
            </w:r>
            <w:r>
              <w:rPr>
                <w:rFonts w:ascii="方正仿宋_GBK" w:hAnsi="方正仿宋_GBK" w:eastAsia="方正仿宋_GBK" w:cs="方正仿宋_GBK"/>
                <w:spacing w:val="-4"/>
                <w:sz w:val="24"/>
                <w:szCs w:val="24"/>
              </w:rPr>
              <w:t>1</w:t>
            </w:r>
            <w:r>
              <w:rPr>
                <w:rFonts w:hint="eastAsia" w:ascii="方正仿宋_GBK" w:hAnsi="方正仿宋_GBK" w:eastAsia="方正仿宋_GBK" w:cs="方正仿宋_GBK"/>
                <w:spacing w:val="-4"/>
                <w:sz w:val="24"/>
                <w:szCs w:val="24"/>
              </w:rPr>
              <w:t>个省份的；</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4.</w:t>
            </w:r>
            <w:r>
              <w:rPr>
                <w:rFonts w:hint="eastAsia" w:ascii="方正仿宋_GBK" w:hAnsi="方正仿宋_GBK" w:eastAsia="方正仿宋_GBK" w:cs="方正仿宋_GBK"/>
                <w:spacing w:val="-4"/>
                <w:sz w:val="24"/>
                <w:szCs w:val="24"/>
              </w:rPr>
              <w:t>其他危害较大且引发社会影响局限于某一省份的疫苗安全事件。</w:t>
            </w:r>
          </w:p>
        </w:tc>
        <w:tc>
          <w:tcPr>
            <w:tcW w:w="1387" w:type="dxa"/>
            <w:vAlign w:val="center"/>
          </w:tcPr>
          <w:p>
            <w:pPr>
              <w:overflowPunct w:val="0"/>
              <w:spacing w:line="320" w:lineRule="exac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Ⅲ级响应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jc w:val="center"/>
        </w:trPr>
        <w:tc>
          <w:tcPr>
            <w:tcW w:w="1560" w:type="dxa"/>
            <w:vAlign w:val="center"/>
          </w:tcPr>
          <w:p>
            <w:pPr>
              <w:overflowPunct w:val="0"/>
              <w:spacing w:line="320" w:lineRule="exact"/>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一般疫苗安全事件</w:t>
            </w:r>
          </w:p>
        </w:tc>
        <w:tc>
          <w:tcPr>
            <w:tcW w:w="7171" w:type="dxa"/>
            <w:vAlign w:val="center"/>
          </w:tcPr>
          <w:p>
            <w:pPr>
              <w:overflowPunct w:val="0"/>
              <w:spacing w:line="320" w:lineRule="exact"/>
              <w:ind w:firstLine="481"/>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符合下列情形之一的：</w:t>
            </w:r>
          </w:p>
          <w:p>
            <w:pPr>
              <w:overflowPunct w:val="0"/>
              <w:spacing w:line="320" w:lineRule="exact"/>
              <w:ind w:left="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1.</w:t>
            </w:r>
            <w:r>
              <w:rPr>
                <w:rFonts w:hint="eastAsia" w:ascii="方正仿宋_GBK" w:hAnsi="方正仿宋_GBK" w:eastAsia="方正仿宋_GBK" w:cs="方正仿宋_GBK"/>
                <w:spacing w:val="-4"/>
                <w:sz w:val="24"/>
                <w:szCs w:val="24"/>
              </w:rPr>
              <w:t>同一批号疫苗引起</w:t>
            </w:r>
            <w:r>
              <w:rPr>
                <w:rFonts w:ascii="方正仿宋_GBK" w:hAnsi="方正仿宋_GBK" w:eastAsia="方正仿宋_GBK" w:cs="方正仿宋_GBK"/>
                <w:spacing w:val="-4"/>
                <w:sz w:val="24"/>
                <w:szCs w:val="24"/>
              </w:rPr>
              <w:t>1</w:t>
            </w:r>
            <w:r>
              <w:rPr>
                <w:rFonts w:hint="eastAsia" w:ascii="方正仿宋_GBK" w:hAnsi="方正仿宋_GBK" w:eastAsia="方正仿宋_GBK" w:cs="方正仿宋_GBK"/>
                <w:spacing w:val="-4"/>
                <w:sz w:val="24"/>
                <w:szCs w:val="24"/>
              </w:rPr>
              <w:t>例患者死亡，疑似与质量相关的事件；</w:t>
            </w:r>
          </w:p>
          <w:p>
            <w:pPr>
              <w:overflowPunct w:val="0"/>
              <w:spacing w:line="320" w:lineRule="exact"/>
              <w:ind w:firstLine="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2.</w:t>
            </w:r>
            <w:r>
              <w:rPr>
                <w:rFonts w:hint="eastAsia" w:ascii="方正仿宋_GBK" w:hAnsi="方正仿宋_GBK" w:eastAsia="方正仿宋_GBK" w:cs="方正仿宋_GBK"/>
                <w:spacing w:val="-4"/>
                <w:sz w:val="24"/>
                <w:szCs w:val="24"/>
              </w:rPr>
              <w:t>在相对集中的时间和区域内，批号相对集中的同一疫苗引起临床表现相似，且罕见或非预期不良事件人数超过</w:t>
            </w:r>
            <w:r>
              <w:rPr>
                <w:rFonts w:ascii="方正仿宋_GBK" w:hAnsi="方正仿宋_GBK" w:eastAsia="方正仿宋_GBK" w:cs="方正仿宋_GBK"/>
                <w:spacing w:val="-4"/>
                <w:sz w:val="24"/>
                <w:szCs w:val="24"/>
              </w:rPr>
              <w:t>3</w:t>
            </w:r>
            <w:r>
              <w:rPr>
                <w:rFonts w:hint="eastAsia" w:ascii="方正仿宋_GBK" w:hAnsi="方正仿宋_GBK" w:eastAsia="方正仿宋_GBK" w:cs="方正仿宋_GBK"/>
                <w:spacing w:val="-4"/>
                <w:sz w:val="24"/>
                <w:szCs w:val="24"/>
              </w:rPr>
              <w:t>人，不多于</w:t>
            </w:r>
            <w:r>
              <w:rPr>
                <w:rFonts w:ascii="方正仿宋_GBK" w:hAnsi="方正仿宋_GBK" w:eastAsia="方正仿宋_GBK" w:cs="方正仿宋_GBK"/>
                <w:spacing w:val="-4"/>
                <w:sz w:val="24"/>
                <w:szCs w:val="24"/>
              </w:rPr>
              <w:t>5</w:t>
            </w:r>
            <w:r>
              <w:rPr>
                <w:rFonts w:hint="eastAsia" w:ascii="方正仿宋_GBK" w:hAnsi="方正仿宋_GBK" w:eastAsia="方正仿宋_GBK" w:cs="方正仿宋_GBK"/>
                <w:spacing w:val="-4"/>
                <w:sz w:val="24"/>
                <w:szCs w:val="24"/>
              </w:rPr>
              <w:t>人的事件；或者引起特别严重不良事件</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可能对人体造成永久性伤残、对器官功能造成永久性损伤或危及生命</w:t>
            </w:r>
            <w:r>
              <w:rPr>
                <w:rFonts w:ascii="方正仿宋_GBK" w:hAnsi="方正仿宋_GBK" w:eastAsia="方正仿宋_GBK" w:cs="方正仿宋_GBK"/>
                <w:spacing w:val="-4"/>
                <w:sz w:val="24"/>
                <w:szCs w:val="24"/>
              </w:rPr>
              <w:t>)</w:t>
            </w:r>
            <w:r>
              <w:rPr>
                <w:rFonts w:hint="eastAsia" w:ascii="方正仿宋_GBK" w:hAnsi="方正仿宋_GBK" w:eastAsia="方正仿宋_GBK" w:cs="方正仿宋_GBK"/>
                <w:spacing w:val="-4"/>
                <w:sz w:val="24"/>
                <w:szCs w:val="24"/>
              </w:rPr>
              <w:t>超过</w:t>
            </w:r>
            <w:r>
              <w:rPr>
                <w:rFonts w:ascii="方正仿宋_GBK" w:hAnsi="方正仿宋_GBK" w:eastAsia="方正仿宋_GBK" w:cs="方正仿宋_GBK"/>
                <w:spacing w:val="-4"/>
                <w:sz w:val="24"/>
                <w:szCs w:val="24"/>
              </w:rPr>
              <w:t>1</w:t>
            </w:r>
            <w:r>
              <w:rPr>
                <w:rFonts w:hint="eastAsia" w:ascii="方正仿宋_GBK" w:hAnsi="方正仿宋_GBK" w:eastAsia="方正仿宋_GBK" w:cs="方正仿宋_GBK"/>
                <w:spacing w:val="-4"/>
                <w:sz w:val="24"/>
                <w:szCs w:val="24"/>
              </w:rPr>
              <w:t>人，疑似与质量相关的事件；</w:t>
            </w:r>
          </w:p>
          <w:p>
            <w:pPr>
              <w:overflowPunct w:val="0"/>
              <w:spacing w:line="320" w:lineRule="exact"/>
              <w:ind w:left="481"/>
              <w:rPr>
                <w:rFonts w:ascii="方正仿宋_GBK" w:hAnsi="方正仿宋_GBK" w:eastAsia="方正仿宋_GBK" w:cs="方正仿宋_GBK"/>
                <w:spacing w:val="-4"/>
                <w:sz w:val="24"/>
                <w:szCs w:val="24"/>
              </w:rPr>
            </w:pPr>
            <w:r>
              <w:rPr>
                <w:rFonts w:ascii="方正仿宋_GBK" w:hAnsi="方正仿宋_GBK" w:eastAsia="方正仿宋_GBK" w:cs="方正仿宋_GBK"/>
                <w:spacing w:val="-4"/>
                <w:sz w:val="24"/>
                <w:szCs w:val="24"/>
              </w:rPr>
              <w:t>3.</w:t>
            </w:r>
            <w:r>
              <w:rPr>
                <w:rFonts w:hint="eastAsia" w:ascii="方正仿宋_GBK" w:hAnsi="方正仿宋_GBK" w:eastAsia="方正仿宋_GBK" w:cs="方正仿宋_GBK"/>
                <w:spacing w:val="-4"/>
                <w:sz w:val="24"/>
                <w:szCs w:val="24"/>
              </w:rPr>
              <w:t>其他一般疫苗安全事件。</w:t>
            </w:r>
          </w:p>
        </w:tc>
        <w:tc>
          <w:tcPr>
            <w:tcW w:w="1387" w:type="dxa"/>
            <w:vAlign w:val="center"/>
          </w:tcPr>
          <w:p>
            <w:pPr>
              <w:overflowPunct w:val="0"/>
              <w:spacing w:line="320" w:lineRule="exact"/>
              <w:jc w:val="center"/>
              <w:rPr>
                <w:rFonts w:ascii="方正仿宋_GBK" w:hAnsi="方正仿宋_GBK" w:eastAsia="方正仿宋_GBK" w:cs="方正仿宋_GBK"/>
                <w:spacing w:val="-4"/>
                <w:sz w:val="24"/>
                <w:szCs w:val="24"/>
              </w:rPr>
            </w:pPr>
            <w:r>
              <w:rPr>
                <w:rFonts w:hint="eastAsia" w:ascii="方正仿宋_GBK" w:hAnsi="方正仿宋_GBK" w:eastAsia="方正仿宋_GBK" w:cs="方正仿宋_GBK"/>
                <w:spacing w:val="-4"/>
                <w:sz w:val="24"/>
                <w:szCs w:val="24"/>
              </w:rPr>
              <w:t>Ⅳ级响应</w:t>
            </w:r>
          </w:p>
        </w:tc>
      </w:tr>
    </w:tbl>
    <w:p>
      <w:pPr>
        <w:overflowPunct w:val="0"/>
        <w:spacing w:line="560" w:lineRule="exact"/>
        <w:rPr>
          <w:rFonts w:ascii="黑体" w:hAnsi="黑体" w:eastAsia="黑体" w:cs="黑体"/>
          <w:sz w:val="32"/>
          <w:szCs w:val="32"/>
        </w:rPr>
      </w:pPr>
      <w:r>
        <w:rPr>
          <w:rFonts w:hint="eastAsia" w:ascii="黑体" w:hAnsi="黑体" w:eastAsia="黑体" w:cs="黑体"/>
          <w:spacing w:val="-9"/>
          <w:sz w:val="32"/>
          <w:szCs w:val="32"/>
        </w:rPr>
        <w:t>附</w:t>
      </w:r>
      <w:r>
        <w:rPr>
          <w:rFonts w:hint="eastAsia" w:ascii="黑体" w:hAnsi="黑体" w:eastAsia="黑体" w:cs="黑体"/>
          <w:spacing w:val="-7"/>
          <w:sz w:val="32"/>
          <w:szCs w:val="32"/>
        </w:rPr>
        <w:t>件</w:t>
      </w:r>
      <w:r>
        <w:rPr>
          <w:rFonts w:ascii="黑体" w:hAnsi="黑体" w:eastAsia="黑体" w:cs="黑体"/>
          <w:spacing w:val="-7"/>
          <w:sz w:val="32"/>
          <w:szCs w:val="32"/>
        </w:rPr>
        <w:t>2</w:t>
      </w:r>
    </w:p>
    <w:p>
      <w:pPr>
        <w:overflowPunct w:val="0"/>
        <w:spacing w:line="560" w:lineRule="exact"/>
        <w:ind w:firstLine="481"/>
        <w:jc w:val="center"/>
        <w:rPr>
          <w:rFonts w:ascii="方正小标宋_GBK" w:hAnsi="方正小标宋_GBK" w:eastAsia="方正小标宋_GBK" w:cs="方正小标宋_GBK"/>
          <w:spacing w:val="-4"/>
          <w:sz w:val="44"/>
          <w:szCs w:val="44"/>
        </w:rPr>
      </w:pPr>
    </w:p>
    <w:p>
      <w:pPr>
        <w:overflowPunct w:val="0"/>
        <w:spacing w:line="560" w:lineRule="exact"/>
        <w:ind w:firstLine="481"/>
        <w:jc w:val="center"/>
        <w:rPr>
          <w:rFonts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费县疫苗安全事件应急指挥部成员单位职责</w:t>
      </w:r>
    </w:p>
    <w:p>
      <w:pPr>
        <w:overflowPunct w:val="0"/>
        <w:spacing w:line="560" w:lineRule="exact"/>
      </w:pPr>
    </w:p>
    <w:p>
      <w:pPr>
        <w:overflowPunct w:val="0"/>
        <w:spacing w:line="560" w:lineRule="exact"/>
        <w:ind w:firstLine="64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县委宣传部：负责指导疫苗安全事件宣传报道和舆论引导工作。</w:t>
      </w:r>
    </w:p>
    <w:p>
      <w:pPr>
        <w:overflowPunct w:val="0"/>
        <w:spacing w:line="560" w:lineRule="exact"/>
        <w:ind w:firstLine="65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县网信中心：根据市场监管、卫生健康等部门出具的书面认定意见，配合依法查处疫苗安全事件中涉及的违法违规互联网站和应用。</w:t>
      </w:r>
    </w:p>
    <w:p>
      <w:pPr>
        <w:overflowPunct w:val="0"/>
        <w:spacing w:line="560" w:lineRule="exact"/>
        <w:ind w:firstLine="65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县教育和体育局：负责协助县有关部门对学校（含托幼机构）学生疫苗安全事件原因进行调查以及组织应急处置工作，做好在校学生、教职工的宣传教育和自我防护工作。</w:t>
      </w:r>
    </w:p>
    <w:p>
      <w:pPr>
        <w:overflowPunct w:val="0"/>
        <w:spacing w:line="560" w:lineRule="exact"/>
        <w:ind w:firstLine="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县工业和信息化局：负责组织协调疫苗安全事件应急处置所需物资的生产供应工作。</w:t>
      </w:r>
    </w:p>
    <w:p>
      <w:pPr>
        <w:overflowPunct w:val="0"/>
        <w:spacing w:line="560" w:lineRule="exact"/>
        <w:ind w:firstLine="64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县公安局：负责事发地治安秩序维护工作；做好涉嫌犯罪案件的侦查工作，依法严厉打击危害疫苗安全犯罪行为。</w:t>
      </w:r>
    </w:p>
    <w:p>
      <w:pPr>
        <w:overflowPunct w:val="0"/>
        <w:spacing w:line="560" w:lineRule="exact"/>
        <w:ind w:firstLine="648"/>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市公安局交警支队费县大队：负责事发地周边道路交通管制、保障应急救援道路畅通和城市公共客运通行。</w:t>
      </w:r>
    </w:p>
    <w:p>
      <w:pPr>
        <w:overflowPunct w:val="0"/>
        <w:spacing w:line="560" w:lineRule="exact"/>
        <w:ind w:firstLine="64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县民政局：负责做好受疫苗安全事件影响导致生活困难且符合社会救助条件人群的基本生活救助工作。</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县司法局：负责疫苗安全事件县政府决策的法律咨询工作。</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县财政局：负责疫苗安全事件应急救援、应急处置的资金保障。</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县交通运输局：协调交通运输应急保障工作，为疫苗安全事件应急处置人员和药品、医疗卫生设备和器材、快速检验检测技术和试剂等重要人员物资提供应急运力保障。</w:t>
      </w:r>
    </w:p>
    <w:p>
      <w:pPr>
        <w:overflowPunct w:val="0"/>
        <w:spacing w:line="560" w:lineRule="exact"/>
        <w:ind w:firstLine="6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县商务局：负责组织疫苗安全事件生活必需品市场供应，负责建立健全生活必需品、重要消费品市场供应应急管理机制。</w:t>
      </w:r>
    </w:p>
    <w:p>
      <w:pPr>
        <w:overflowPunct w:val="0"/>
        <w:spacing w:line="560" w:lineRule="exact"/>
        <w:ind w:firstLine="65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县文化旅游局：在县委宣传部领导下，协调指导广播电视播出机构安全运行。</w:t>
      </w:r>
    </w:p>
    <w:p>
      <w:pPr>
        <w:overflowPunct w:val="0"/>
        <w:spacing w:line="560" w:lineRule="exact"/>
        <w:ind w:firstLine="65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县卫生健康局：负责收集和上报疫苗安全事件信息；协调有关部门、单位开展应急处置工作；组织协调相关医疗机构、疾病预防控制机构和接种单位，开展疫苗安全事件患者医疗救治。</w:t>
      </w:r>
    </w:p>
    <w:p>
      <w:pPr>
        <w:overflowPunct w:val="0"/>
        <w:spacing w:line="560" w:lineRule="exact"/>
        <w:ind w:firstLine="65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县应急管理局：指导协调各乡镇和县直相关部门做好疫苗安全事件受灾群众的转移、安置和生活救助工作；负责应急处置所需物资、设备生产经营活动的安全生产综合监督管理工作。</w:t>
      </w:r>
    </w:p>
    <w:p>
      <w:pPr>
        <w:overflowPunct w:val="0"/>
        <w:spacing w:line="560" w:lineRule="exact"/>
        <w:ind w:firstLine="64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县市场监管局：负责收集和上报疫苗安全事件信息；协调有关部门、单位开展应急处置工作；控制突发事件所涉及的相关疫苗；对疫苗安全事件进行调查处理和相关技术鉴定等工作。</w:t>
      </w:r>
    </w:p>
    <w:p>
      <w:pPr>
        <w:overflowPunct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县大数据中心：配合协调疫苗安全事件应急处置信息化应用。</w:t>
      </w:r>
    </w:p>
    <w:p>
      <w:pPr>
        <w:overflowPunct w:val="0"/>
        <w:spacing w:line="560" w:lineRule="exact"/>
        <w:ind w:firstLine="64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县信访局：负责接待、受理事件中发生的群众信访事项，协调督促有权处理的部门单位依法及时处理有关信访问题。</w:t>
      </w:r>
    </w:p>
    <w:p>
      <w:pPr>
        <w:overflowPunct w:val="0"/>
        <w:spacing w:line="560" w:lineRule="exact"/>
        <w:ind w:firstLine="646"/>
        <w:rPr>
          <w:rFonts w:ascii="黑体" w:hAnsi="黑体" w:eastAsia="黑体" w:cs="黑体"/>
          <w:sz w:val="32"/>
          <w:szCs w:val="32"/>
        </w:rPr>
      </w:pPr>
      <w:r>
        <w:rPr>
          <w:rFonts w:hint="eastAsia" w:ascii="方正仿宋_GBK" w:hAnsi="方正仿宋_GBK" w:eastAsia="方正仿宋_GBK" w:cs="方正仿宋_GBK"/>
          <w:sz w:val="32"/>
          <w:szCs w:val="32"/>
        </w:rPr>
        <w:t>县银保监组：负责督促县内各保险机构及时开展疫苗安全相关保险理赔。</w:t>
      </w: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z w:val="32"/>
          <w:szCs w:val="32"/>
        </w:rPr>
      </w:pPr>
      <w:r>
        <w:rPr>
          <w:rFonts w:hint="eastAsia" w:ascii="黑体" w:hAnsi="黑体" w:eastAsia="黑体" w:cs="黑体"/>
          <w:spacing w:val="-9"/>
          <w:sz w:val="32"/>
          <w:szCs w:val="32"/>
        </w:rPr>
        <w:t>附</w:t>
      </w:r>
      <w:r>
        <w:rPr>
          <w:rFonts w:hint="eastAsia" w:ascii="黑体" w:hAnsi="黑体" w:eastAsia="黑体" w:cs="黑体"/>
          <w:spacing w:val="-7"/>
          <w:sz w:val="32"/>
          <w:szCs w:val="32"/>
        </w:rPr>
        <w:t>件</w:t>
      </w:r>
      <w:r>
        <w:rPr>
          <w:rFonts w:ascii="黑体" w:hAnsi="黑体" w:eastAsia="黑体" w:cs="黑体"/>
          <w:spacing w:val="-7"/>
          <w:sz w:val="32"/>
          <w:szCs w:val="32"/>
        </w:rPr>
        <w:t>3</w:t>
      </w:r>
    </w:p>
    <w:p>
      <w:pPr>
        <w:overflowPunct w:val="0"/>
        <w:spacing w:line="560" w:lineRule="exact"/>
        <w:ind w:firstLine="481"/>
        <w:jc w:val="center"/>
        <w:rPr>
          <w:rFonts w:ascii="方正小标宋_GBK" w:hAnsi="方正小标宋_GBK" w:eastAsia="方正小标宋_GBK" w:cs="方正小标宋_GBK"/>
          <w:spacing w:val="-4"/>
          <w:sz w:val="44"/>
          <w:szCs w:val="44"/>
        </w:rPr>
      </w:pPr>
    </w:p>
    <w:p>
      <w:pPr>
        <w:overflowPunct w:val="0"/>
        <w:spacing w:line="560" w:lineRule="exact"/>
        <w:ind w:firstLine="481"/>
        <w:jc w:val="center"/>
      </w:pPr>
      <w:r>
        <w:rPr>
          <w:rFonts w:hint="eastAsia" w:ascii="方正小标宋_GBK" w:hAnsi="方正小标宋_GBK" w:eastAsia="方正小标宋_GBK" w:cs="方正小标宋_GBK"/>
          <w:spacing w:val="-4"/>
          <w:sz w:val="44"/>
          <w:szCs w:val="44"/>
        </w:rPr>
        <w:t>疫苗安全重大信息报告表</w:t>
      </w:r>
      <w:r>
        <w:rPr>
          <w:rFonts w:ascii="方正小标宋_GBK" w:hAnsi="方正小标宋_GBK" w:eastAsia="方正小标宋_GBK" w:cs="方正小标宋_GBK"/>
          <w:spacing w:val="-4"/>
          <w:sz w:val="44"/>
          <w:szCs w:val="44"/>
        </w:rPr>
        <w:t>(</w:t>
      </w:r>
      <w:r>
        <w:rPr>
          <w:rFonts w:hint="eastAsia" w:ascii="方正小标宋_GBK" w:hAnsi="方正小标宋_GBK" w:eastAsia="方正小标宋_GBK" w:cs="方正小标宋_GBK"/>
          <w:spacing w:val="-4"/>
          <w:sz w:val="44"/>
          <w:szCs w:val="44"/>
        </w:rPr>
        <w:t>初报</w:t>
      </w:r>
      <w:r>
        <w:rPr>
          <w:rFonts w:ascii="方正小标宋_GBK" w:hAnsi="方正小标宋_GBK" w:eastAsia="方正小标宋_GBK" w:cs="方正小标宋_GBK"/>
          <w:spacing w:val="-4"/>
          <w:sz w:val="44"/>
          <w:szCs w:val="44"/>
        </w:rPr>
        <w:t>)</w:t>
      </w:r>
    </w:p>
    <w:p>
      <w:pPr>
        <w:overflowPunct w:val="0"/>
        <w:spacing w:line="560" w:lineRule="exact"/>
      </w:pPr>
    </w:p>
    <w:tbl>
      <w:tblPr>
        <w:tblStyle w:val="7"/>
        <w:tblW w:w="92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6"/>
        <w:gridCol w:w="3122"/>
        <w:gridCol w:w="1647"/>
        <w:gridCol w:w="411"/>
        <w:gridCol w:w="2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506"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6"/>
                <w:position w:val="1"/>
                <w:sz w:val="28"/>
                <w:szCs w:val="28"/>
              </w:rPr>
              <w:t>事</w:t>
            </w:r>
            <w:r>
              <w:rPr>
                <w:rFonts w:hint="eastAsia" w:ascii="仿宋" w:hAnsi="仿宋" w:eastAsia="仿宋" w:cs="方正仿宋_GBK"/>
                <w:spacing w:val="4"/>
                <w:position w:val="1"/>
                <w:sz w:val="28"/>
                <w:szCs w:val="28"/>
              </w:rPr>
              <w:t>件名称</w:t>
            </w:r>
          </w:p>
        </w:tc>
        <w:tc>
          <w:tcPr>
            <w:tcW w:w="7753" w:type="dxa"/>
            <w:gridSpan w:val="4"/>
            <w:vAlign w:val="center"/>
          </w:tcPr>
          <w:p>
            <w:pPr>
              <w:overflowPunct w:val="0"/>
              <w:spacing w:line="560" w:lineRule="exact"/>
              <w:jc w:val="center"/>
              <w:rPr>
                <w:rFonts w:ascii="仿宋" w:hAnsi="仿宋" w:eastAsia="仿宋"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506" w:type="dxa"/>
            <w:vAlign w:val="center"/>
          </w:tcPr>
          <w:p>
            <w:pPr>
              <w:overflowPunct w:val="0"/>
              <w:spacing w:line="560" w:lineRule="exact"/>
              <w:jc w:val="center"/>
              <w:rPr>
                <w:rFonts w:ascii="仿宋" w:hAnsi="仿宋" w:eastAsia="仿宋" w:cs="方正仿宋_GBK"/>
                <w:spacing w:val="6"/>
                <w:position w:val="1"/>
                <w:sz w:val="28"/>
                <w:szCs w:val="28"/>
              </w:rPr>
            </w:pPr>
            <w:r>
              <w:rPr>
                <w:rFonts w:hint="eastAsia" w:ascii="仿宋" w:hAnsi="仿宋" w:eastAsia="仿宋" w:cs="方正仿宋_GBK"/>
                <w:spacing w:val="6"/>
                <w:position w:val="1"/>
                <w:sz w:val="28"/>
                <w:szCs w:val="28"/>
              </w:rPr>
              <w:t>事发地点</w:t>
            </w:r>
          </w:p>
        </w:tc>
        <w:tc>
          <w:tcPr>
            <w:tcW w:w="3122" w:type="dxa"/>
            <w:vAlign w:val="center"/>
          </w:tcPr>
          <w:p>
            <w:pPr>
              <w:overflowPunct w:val="0"/>
              <w:spacing w:line="560" w:lineRule="exact"/>
              <w:jc w:val="center"/>
              <w:rPr>
                <w:rFonts w:ascii="仿宋" w:hAnsi="仿宋" w:eastAsia="仿宋" w:cs="方正仿宋_GBK"/>
                <w:sz w:val="28"/>
                <w:szCs w:val="28"/>
              </w:rPr>
            </w:pPr>
          </w:p>
        </w:tc>
        <w:tc>
          <w:tcPr>
            <w:tcW w:w="2058" w:type="dxa"/>
            <w:gridSpan w:val="2"/>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2"/>
                <w:position w:val="1"/>
                <w:sz w:val="28"/>
                <w:szCs w:val="28"/>
              </w:rPr>
              <w:t>涉</w:t>
            </w:r>
            <w:r>
              <w:rPr>
                <w:rFonts w:hint="eastAsia" w:ascii="仿宋" w:hAnsi="仿宋" w:eastAsia="仿宋" w:cs="方正仿宋_GBK"/>
                <w:spacing w:val="1"/>
                <w:position w:val="1"/>
                <w:sz w:val="28"/>
                <w:szCs w:val="28"/>
              </w:rPr>
              <w:t>及单位</w:t>
            </w:r>
          </w:p>
        </w:tc>
        <w:tc>
          <w:tcPr>
            <w:tcW w:w="2573" w:type="dxa"/>
            <w:vAlign w:val="center"/>
          </w:tcPr>
          <w:p>
            <w:pPr>
              <w:overflowPunct w:val="0"/>
              <w:spacing w:line="560" w:lineRule="exact"/>
              <w:jc w:val="center"/>
              <w:rPr>
                <w:rFonts w:ascii="仿宋" w:hAnsi="仿宋" w:eastAsia="仿宋"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506" w:type="dxa"/>
          </w:tcPr>
          <w:p>
            <w:pPr>
              <w:overflowPunct w:val="0"/>
              <w:spacing w:line="560" w:lineRule="exact"/>
              <w:jc w:val="center"/>
              <w:rPr>
                <w:rFonts w:ascii="仿宋" w:hAnsi="仿宋" w:eastAsia="仿宋" w:cs="方正仿宋_GBK"/>
                <w:spacing w:val="6"/>
                <w:position w:val="1"/>
                <w:sz w:val="28"/>
                <w:szCs w:val="28"/>
              </w:rPr>
            </w:pPr>
            <w:r>
              <w:rPr>
                <w:rFonts w:hint="eastAsia" w:ascii="仿宋" w:hAnsi="仿宋" w:eastAsia="仿宋" w:cs="方正仿宋_GBK"/>
                <w:spacing w:val="6"/>
                <w:position w:val="1"/>
                <w:sz w:val="28"/>
                <w:szCs w:val="28"/>
              </w:rPr>
              <w:t>发生时间</w:t>
            </w:r>
          </w:p>
        </w:tc>
        <w:tc>
          <w:tcPr>
            <w:tcW w:w="7753" w:type="dxa"/>
            <w:gridSpan w:val="4"/>
          </w:tcPr>
          <w:p>
            <w:pPr>
              <w:overflowPunct w:val="0"/>
              <w:spacing w:line="560" w:lineRule="exact"/>
              <w:ind w:firstLine="3256" w:firstLineChars="1100"/>
              <w:rPr>
                <w:rFonts w:ascii="仿宋" w:hAnsi="仿宋" w:eastAsia="仿宋" w:cs="方正仿宋_GBK"/>
                <w:sz w:val="28"/>
                <w:szCs w:val="28"/>
              </w:rPr>
            </w:pPr>
            <w:r>
              <w:rPr>
                <w:rFonts w:hint="eastAsia" w:ascii="仿宋" w:hAnsi="仿宋" w:eastAsia="仿宋" w:cs="方正仿宋_GBK"/>
                <w:spacing w:val="8"/>
                <w:position w:val="1"/>
                <w:sz w:val="28"/>
                <w:szCs w:val="28"/>
              </w:rPr>
              <w:t>年</w:t>
            </w:r>
            <w:r>
              <w:rPr>
                <w:rFonts w:ascii="仿宋" w:hAnsi="仿宋" w:eastAsia="仿宋" w:cs="方正仿宋_GBK"/>
                <w:spacing w:val="8"/>
                <w:position w:val="1"/>
                <w:sz w:val="28"/>
                <w:szCs w:val="28"/>
              </w:rPr>
              <w:t xml:space="preserve">   </w:t>
            </w:r>
            <w:r>
              <w:rPr>
                <w:rFonts w:hint="eastAsia" w:ascii="仿宋" w:hAnsi="仿宋" w:eastAsia="仿宋" w:cs="方正仿宋_GBK"/>
                <w:spacing w:val="8"/>
                <w:position w:val="1"/>
                <w:sz w:val="28"/>
                <w:szCs w:val="28"/>
              </w:rPr>
              <w:t>月</w:t>
            </w:r>
            <w:r>
              <w:rPr>
                <w:rFonts w:ascii="仿宋" w:hAnsi="仿宋" w:eastAsia="仿宋" w:cs="方正仿宋_GBK"/>
                <w:spacing w:val="8"/>
                <w:position w:val="1"/>
                <w:sz w:val="28"/>
                <w:szCs w:val="28"/>
              </w:rPr>
              <w:t xml:space="preserve">   </w:t>
            </w:r>
            <w:r>
              <w:rPr>
                <w:rFonts w:hint="eastAsia" w:ascii="仿宋" w:hAnsi="仿宋" w:eastAsia="仿宋" w:cs="方正仿宋_GBK"/>
                <w:spacing w:val="8"/>
                <w:position w:val="1"/>
                <w:sz w:val="28"/>
                <w:szCs w:val="28"/>
              </w:rPr>
              <w:t>日</w:t>
            </w:r>
            <w:r>
              <w:rPr>
                <w:rFonts w:ascii="仿宋" w:hAnsi="仿宋" w:eastAsia="仿宋" w:cs="方正仿宋_GBK"/>
                <w:spacing w:val="8"/>
                <w:position w:val="1"/>
                <w:sz w:val="28"/>
                <w:szCs w:val="28"/>
              </w:rPr>
              <w:t xml:space="preserve">   </w:t>
            </w:r>
            <w:r>
              <w:rPr>
                <w:rFonts w:hint="eastAsia" w:ascii="仿宋" w:hAnsi="仿宋" w:eastAsia="仿宋" w:cs="方正仿宋_GBK"/>
                <w:spacing w:val="8"/>
                <w:position w:val="1"/>
                <w:sz w:val="28"/>
                <w:szCs w:val="28"/>
              </w:rPr>
              <w:t>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jc w:val="center"/>
        </w:trPr>
        <w:tc>
          <w:tcPr>
            <w:tcW w:w="1506" w:type="dxa"/>
            <w:vAlign w:val="center"/>
          </w:tcPr>
          <w:p>
            <w:pPr>
              <w:overflowPunct w:val="0"/>
              <w:spacing w:line="560" w:lineRule="exact"/>
              <w:jc w:val="center"/>
              <w:rPr>
                <w:rFonts w:ascii="仿宋" w:hAnsi="仿宋" w:eastAsia="仿宋" w:cs="方正仿宋_GBK"/>
                <w:spacing w:val="6"/>
                <w:position w:val="1"/>
                <w:sz w:val="28"/>
                <w:szCs w:val="28"/>
              </w:rPr>
            </w:pPr>
            <w:r>
              <w:rPr>
                <w:rFonts w:hint="eastAsia" w:ascii="仿宋" w:hAnsi="仿宋" w:eastAsia="仿宋" w:cs="方正仿宋_GBK"/>
                <w:spacing w:val="6"/>
                <w:position w:val="1"/>
                <w:sz w:val="28"/>
                <w:szCs w:val="28"/>
              </w:rPr>
              <w:t>初步判断</w:t>
            </w:r>
          </w:p>
        </w:tc>
        <w:tc>
          <w:tcPr>
            <w:tcW w:w="3122" w:type="dxa"/>
            <w:tcBorders>
              <w:right w:val="nil"/>
            </w:tcBorders>
            <w:vAlign w:val="center"/>
          </w:tcPr>
          <w:p>
            <w:pPr>
              <w:overflowPunct w:val="0"/>
              <w:spacing w:line="560" w:lineRule="exact"/>
              <w:jc w:val="center"/>
              <w:rPr>
                <w:rFonts w:ascii="仿宋" w:hAnsi="仿宋" w:eastAsia="仿宋" w:cs="方正仿宋_GBK"/>
                <w:spacing w:val="6"/>
                <w:position w:val="1"/>
                <w:sz w:val="28"/>
                <w:szCs w:val="28"/>
              </w:rPr>
            </w:pPr>
            <w:r>
              <w:rPr>
                <w:rFonts w:ascii="仿宋" w:hAnsi="仿宋" w:eastAsia="仿宋" w:cs="方正仿宋_GBK"/>
                <w:spacing w:val="6"/>
                <w:position w:val="1"/>
                <w:sz w:val="28"/>
                <w:szCs w:val="28"/>
              </w:rPr>
              <w:t>(   )</w:t>
            </w:r>
            <w:r>
              <w:rPr>
                <w:rFonts w:hint="eastAsia" w:ascii="仿宋" w:hAnsi="仿宋" w:eastAsia="仿宋" w:cs="方正仿宋_GBK"/>
                <w:spacing w:val="6"/>
                <w:position w:val="1"/>
                <w:sz w:val="28"/>
                <w:szCs w:val="28"/>
              </w:rPr>
              <w:t>特大</w:t>
            </w:r>
            <w:r>
              <w:rPr>
                <w:rFonts w:ascii="仿宋" w:hAnsi="仿宋" w:eastAsia="仿宋" w:cs="方正仿宋_GBK"/>
                <w:spacing w:val="6"/>
                <w:position w:val="1"/>
                <w:sz w:val="28"/>
                <w:szCs w:val="28"/>
              </w:rPr>
              <w:t>(</w:t>
            </w:r>
            <w:r>
              <w:rPr>
                <w:rFonts w:hint="eastAsia" w:ascii="仿宋" w:hAnsi="仿宋" w:eastAsia="仿宋" w:cs="方正仿宋_GBK"/>
                <w:spacing w:val="6"/>
                <w:position w:val="1"/>
                <w:sz w:val="28"/>
                <w:szCs w:val="28"/>
              </w:rPr>
              <w:t>Ⅰ级</w:t>
            </w:r>
            <w:r>
              <w:rPr>
                <w:rFonts w:ascii="仿宋" w:hAnsi="仿宋" w:eastAsia="仿宋" w:cs="方正仿宋_GBK"/>
                <w:spacing w:val="6"/>
                <w:position w:val="1"/>
                <w:sz w:val="28"/>
                <w:szCs w:val="28"/>
              </w:rPr>
              <w:t>)</w:t>
            </w:r>
          </w:p>
          <w:p>
            <w:pPr>
              <w:overflowPunct w:val="0"/>
              <w:spacing w:line="560" w:lineRule="exact"/>
              <w:jc w:val="center"/>
              <w:rPr>
                <w:rFonts w:ascii="仿宋" w:hAnsi="仿宋" w:eastAsia="仿宋" w:cs="方正仿宋_GBK"/>
                <w:spacing w:val="6"/>
                <w:position w:val="1"/>
                <w:sz w:val="28"/>
                <w:szCs w:val="28"/>
              </w:rPr>
            </w:pPr>
            <w:r>
              <w:rPr>
                <w:rFonts w:ascii="仿宋" w:hAnsi="仿宋" w:eastAsia="仿宋" w:cs="方正仿宋_GBK"/>
                <w:spacing w:val="6"/>
                <w:position w:val="1"/>
                <w:sz w:val="28"/>
                <w:szCs w:val="28"/>
              </w:rPr>
              <w:t>(   )</w:t>
            </w:r>
            <w:r>
              <w:rPr>
                <w:rFonts w:hint="eastAsia" w:ascii="仿宋" w:hAnsi="仿宋" w:eastAsia="仿宋" w:cs="方正仿宋_GBK"/>
                <w:spacing w:val="6"/>
                <w:position w:val="1"/>
                <w:sz w:val="28"/>
                <w:szCs w:val="28"/>
              </w:rPr>
              <w:t>较大</w:t>
            </w:r>
            <w:r>
              <w:rPr>
                <w:rFonts w:ascii="仿宋" w:hAnsi="仿宋" w:eastAsia="仿宋" w:cs="方正仿宋_GBK"/>
                <w:spacing w:val="6"/>
                <w:position w:val="1"/>
                <w:sz w:val="28"/>
                <w:szCs w:val="28"/>
              </w:rPr>
              <w:t>(</w:t>
            </w:r>
            <w:r>
              <w:rPr>
                <w:rFonts w:hint="eastAsia" w:ascii="仿宋" w:hAnsi="仿宋" w:eastAsia="仿宋" w:cs="方正仿宋_GBK"/>
                <w:spacing w:val="6"/>
                <w:position w:val="1"/>
                <w:sz w:val="28"/>
                <w:szCs w:val="28"/>
              </w:rPr>
              <w:t>Ⅲ级</w:t>
            </w:r>
            <w:r>
              <w:rPr>
                <w:rFonts w:ascii="仿宋" w:hAnsi="仿宋" w:eastAsia="仿宋" w:cs="方正仿宋_GBK"/>
                <w:spacing w:val="6"/>
                <w:position w:val="1"/>
                <w:sz w:val="28"/>
                <w:szCs w:val="28"/>
              </w:rPr>
              <w:t>)</w:t>
            </w:r>
          </w:p>
        </w:tc>
        <w:tc>
          <w:tcPr>
            <w:tcW w:w="4631" w:type="dxa"/>
            <w:gridSpan w:val="3"/>
            <w:tcBorders>
              <w:left w:val="nil"/>
            </w:tcBorders>
            <w:vAlign w:val="center"/>
          </w:tcPr>
          <w:p>
            <w:pPr>
              <w:overflowPunct w:val="0"/>
              <w:spacing w:line="560" w:lineRule="exact"/>
              <w:jc w:val="center"/>
              <w:rPr>
                <w:rFonts w:ascii="仿宋" w:hAnsi="仿宋" w:eastAsia="仿宋" w:cs="方正仿宋_GBK"/>
                <w:spacing w:val="6"/>
                <w:position w:val="1"/>
                <w:sz w:val="28"/>
                <w:szCs w:val="28"/>
              </w:rPr>
            </w:pPr>
            <w:r>
              <w:rPr>
                <w:rFonts w:ascii="仿宋" w:hAnsi="仿宋" w:eastAsia="仿宋" w:cs="方正仿宋_GBK"/>
                <w:spacing w:val="6"/>
                <w:position w:val="1"/>
                <w:sz w:val="28"/>
                <w:szCs w:val="28"/>
              </w:rPr>
              <w:t>(   )</w:t>
            </w:r>
            <w:r>
              <w:rPr>
                <w:rFonts w:hint="eastAsia" w:ascii="仿宋" w:hAnsi="仿宋" w:eastAsia="仿宋" w:cs="方正仿宋_GBK"/>
                <w:spacing w:val="6"/>
                <w:position w:val="1"/>
                <w:sz w:val="28"/>
                <w:szCs w:val="28"/>
              </w:rPr>
              <w:t>重大</w:t>
            </w:r>
            <w:r>
              <w:rPr>
                <w:rFonts w:ascii="仿宋" w:hAnsi="仿宋" w:eastAsia="仿宋" w:cs="方正仿宋_GBK"/>
                <w:spacing w:val="6"/>
                <w:position w:val="1"/>
                <w:sz w:val="28"/>
                <w:szCs w:val="28"/>
              </w:rPr>
              <w:t>(</w:t>
            </w:r>
            <w:r>
              <w:rPr>
                <w:rFonts w:hint="eastAsia" w:ascii="仿宋" w:hAnsi="仿宋" w:eastAsia="仿宋" w:cs="方正仿宋_GBK"/>
                <w:spacing w:val="6"/>
                <w:position w:val="1"/>
                <w:sz w:val="28"/>
                <w:szCs w:val="28"/>
              </w:rPr>
              <w:t>Ⅱ级</w:t>
            </w:r>
            <w:r>
              <w:rPr>
                <w:rFonts w:ascii="仿宋" w:hAnsi="仿宋" w:eastAsia="仿宋" w:cs="方正仿宋_GBK"/>
                <w:spacing w:val="6"/>
                <w:position w:val="1"/>
                <w:sz w:val="28"/>
                <w:szCs w:val="28"/>
              </w:rPr>
              <w:t>)</w:t>
            </w:r>
          </w:p>
          <w:p>
            <w:pPr>
              <w:overflowPunct w:val="0"/>
              <w:spacing w:line="560" w:lineRule="exact"/>
              <w:jc w:val="center"/>
              <w:rPr>
                <w:rFonts w:ascii="仿宋" w:hAnsi="仿宋" w:eastAsia="仿宋" w:cs="方正仿宋_GBK"/>
                <w:spacing w:val="6"/>
                <w:position w:val="1"/>
                <w:sz w:val="28"/>
                <w:szCs w:val="28"/>
              </w:rPr>
            </w:pPr>
            <w:r>
              <w:rPr>
                <w:rFonts w:ascii="仿宋" w:hAnsi="仿宋" w:eastAsia="仿宋" w:cs="方正仿宋_GBK"/>
                <w:spacing w:val="6"/>
                <w:position w:val="1"/>
                <w:sz w:val="28"/>
                <w:szCs w:val="28"/>
              </w:rPr>
              <w:t>(   )</w:t>
            </w:r>
            <w:r>
              <w:rPr>
                <w:rFonts w:hint="eastAsia" w:ascii="仿宋" w:hAnsi="仿宋" w:eastAsia="仿宋" w:cs="方正仿宋_GBK"/>
                <w:spacing w:val="6"/>
                <w:position w:val="1"/>
                <w:sz w:val="28"/>
                <w:szCs w:val="28"/>
              </w:rPr>
              <w:t>一般</w:t>
            </w:r>
            <w:r>
              <w:rPr>
                <w:rFonts w:ascii="仿宋" w:hAnsi="仿宋" w:eastAsia="仿宋" w:cs="方正仿宋_GBK"/>
                <w:spacing w:val="6"/>
                <w:position w:val="1"/>
                <w:sz w:val="28"/>
                <w:szCs w:val="28"/>
              </w:rPr>
              <w:t>(</w:t>
            </w:r>
            <w:r>
              <w:rPr>
                <w:rFonts w:hint="eastAsia" w:ascii="仿宋" w:hAnsi="仿宋" w:eastAsia="仿宋" w:cs="方正仿宋_GBK"/>
                <w:spacing w:val="6"/>
                <w:position w:val="1"/>
                <w:sz w:val="28"/>
                <w:szCs w:val="28"/>
              </w:rPr>
              <w:t>Ⅳ级</w:t>
            </w:r>
            <w:r>
              <w:rPr>
                <w:rFonts w:ascii="仿宋" w:hAnsi="仿宋" w:eastAsia="仿宋" w:cs="方正仿宋_GBK"/>
                <w:spacing w:val="6"/>
                <w:position w:val="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9" w:hRule="atLeast"/>
          <w:jc w:val="center"/>
        </w:trPr>
        <w:tc>
          <w:tcPr>
            <w:tcW w:w="1506"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6"/>
                <w:position w:val="1"/>
                <w:sz w:val="28"/>
                <w:szCs w:val="28"/>
              </w:rPr>
              <w:t>基本情况</w:t>
            </w:r>
          </w:p>
        </w:tc>
        <w:tc>
          <w:tcPr>
            <w:tcW w:w="7753" w:type="dxa"/>
            <w:gridSpan w:val="4"/>
          </w:tcPr>
          <w:p>
            <w:pPr>
              <w:overflowPunct w:val="0"/>
              <w:spacing w:line="560" w:lineRule="exact"/>
              <w:rPr>
                <w:rFonts w:ascii="仿宋" w:hAnsi="仿宋" w:eastAsia="仿宋" w:cs="方正仿宋_GBK"/>
                <w:sz w:val="28"/>
                <w:szCs w:val="28"/>
              </w:rPr>
            </w:pPr>
            <w:r>
              <w:rPr>
                <w:rFonts w:hint="eastAsia" w:ascii="仿宋" w:hAnsi="仿宋" w:eastAsia="仿宋" w:cs="方正仿宋_GBK"/>
                <w:spacing w:val="16"/>
                <w:position w:val="1"/>
                <w:sz w:val="28"/>
                <w:szCs w:val="28"/>
              </w:rPr>
              <w:t>（主</w:t>
            </w:r>
            <w:r>
              <w:rPr>
                <w:rFonts w:hint="eastAsia" w:ascii="仿宋" w:hAnsi="仿宋" w:eastAsia="仿宋" w:cs="方正仿宋_GBK"/>
                <w:spacing w:val="15"/>
                <w:position w:val="1"/>
                <w:sz w:val="28"/>
                <w:szCs w:val="28"/>
              </w:rPr>
              <w:t>要包括事件概况、报告和通报情况，已采取的措施</w:t>
            </w:r>
            <w:r>
              <w:rPr>
                <w:rFonts w:hint="eastAsia" w:ascii="仿宋" w:hAnsi="仿宋" w:eastAsia="仿宋" w:cs="方正仿宋_GBK"/>
                <w:spacing w:val="16"/>
                <w:position w:val="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1506"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5"/>
                <w:sz w:val="28"/>
                <w:szCs w:val="28"/>
              </w:rPr>
              <w:t>报告单位</w:t>
            </w:r>
          </w:p>
        </w:tc>
        <w:tc>
          <w:tcPr>
            <w:tcW w:w="3122" w:type="dxa"/>
            <w:vAlign w:val="center"/>
          </w:tcPr>
          <w:p>
            <w:pPr>
              <w:overflowPunct w:val="0"/>
              <w:spacing w:line="560" w:lineRule="exact"/>
              <w:jc w:val="center"/>
              <w:rPr>
                <w:rFonts w:ascii="仿宋" w:hAnsi="仿宋" w:eastAsia="仿宋" w:cs="方正仿宋_GBK"/>
                <w:sz w:val="28"/>
                <w:szCs w:val="28"/>
              </w:rPr>
            </w:pPr>
          </w:p>
        </w:tc>
        <w:tc>
          <w:tcPr>
            <w:tcW w:w="1647"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5"/>
                <w:sz w:val="28"/>
                <w:szCs w:val="28"/>
              </w:rPr>
              <w:t>报告时间</w:t>
            </w:r>
          </w:p>
        </w:tc>
        <w:tc>
          <w:tcPr>
            <w:tcW w:w="2984" w:type="dxa"/>
            <w:gridSpan w:val="2"/>
          </w:tcPr>
          <w:p>
            <w:pPr>
              <w:overflowPunct w:val="0"/>
              <w:spacing w:line="560" w:lineRule="exact"/>
              <w:rPr>
                <w:rFonts w:ascii="仿宋" w:hAnsi="仿宋" w:eastAsia="仿宋"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1506"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3"/>
                <w:sz w:val="28"/>
                <w:szCs w:val="28"/>
              </w:rPr>
              <w:t>报告人</w:t>
            </w:r>
          </w:p>
        </w:tc>
        <w:tc>
          <w:tcPr>
            <w:tcW w:w="3122" w:type="dxa"/>
            <w:vAlign w:val="center"/>
          </w:tcPr>
          <w:p>
            <w:pPr>
              <w:overflowPunct w:val="0"/>
              <w:spacing w:line="560" w:lineRule="exact"/>
              <w:jc w:val="center"/>
              <w:rPr>
                <w:rFonts w:ascii="仿宋" w:hAnsi="仿宋" w:eastAsia="仿宋" w:cs="方正仿宋_GBK"/>
                <w:sz w:val="28"/>
                <w:szCs w:val="28"/>
              </w:rPr>
            </w:pPr>
          </w:p>
        </w:tc>
        <w:tc>
          <w:tcPr>
            <w:tcW w:w="1647" w:type="dxa"/>
            <w:vMerge w:val="restart"/>
            <w:tcBorders>
              <w:bottom w:val="nil"/>
            </w:tcBorders>
            <w:vAlign w:val="center"/>
          </w:tcPr>
          <w:p>
            <w:pPr>
              <w:overflowPunct w:val="0"/>
              <w:spacing w:line="560" w:lineRule="exact"/>
              <w:jc w:val="center"/>
              <w:rPr>
                <w:rFonts w:ascii="仿宋" w:hAnsi="仿宋" w:eastAsia="仿宋" w:cs="方正仿宋_GBK"/>
                <w:spacing w:val="3"/>
                <w:sz w:val="28"/>
                <w:szCs w:val="28"/>
              </w:rPr>
            </w:pPr>
            <w:r>
              <w:rPr>
                <w:rFonts w:hint="eastAsia" w:ascii="仿宋" w:hAnsi="仿宋" w:eastAsia="仿宋" w:cs="方正仿宋_GBK"/>
                <w:spacing w:val="3"/>
                <w:sz w:val="28"/>
                <w:szCs w:val="28"/>
              </w:rPr>
              <w:t>联系电话</w:t>
            </w:r>
          </w:p>
        </w:tc>
        <w:tc>
          <w:tcPr>
            <w:tcW w:w="2984" w:type="dxa"/>
            <w:gridSpan w:val="2"/>
            <w:vMerge w:val="restart"/>
            <w:tcBorders>
              <w:bottom w:val="nil"/>
            </w:tcBorders>
            <w:vAlign w:val="center"/>
          </w:tcPr>
          <w:p>
            <w:pPr>
              <w:overflowPunct w:val="0"/>
              <w:spacing w:line="560" w:lineRule="exact"/>
              <w:rPr>
                <w:rFonts w:ascii="仿宋" w:hAnsi="仿宋" w:eastAsia="仿宋" w:cs="方正仿宋_GBK"/>
                <w:spacing w:val="3"/>
                <w:sz w:val="28"/>
                <w:szCs w:val="28"/>
              </w:rPr>
            </w:pPr>
            <w:r>
              <w:rPr>
                <w:rFonts w:hint="eastAsia" w:ascii="仿宋" w:hAnsi="仿宋" w:eastAsia="仿宋" w:cs="方正仿宋_GBK"/>
                <w:spacing w:val="3"/>
                <w:sz w:val="28"/>
                <w:szCs w:val="28"/>
              </w:rPr>
              <w:t>座机：</w:t>
            </w:r>
          </w:p>
          <w:p>
            <w:pPr>
              <w:overflowPunct w:val="0"/>
              <w:spacing w:line="560" w:lineRule="exact"/>
              <w:rPr>
                <w:rFonts w:ascii="仿宋" w:hAnsi="仿宋" w:eastAsia="仿宋" w:cs="方正仿宋_GBK"/>
                <w:spacing w:val="3"/>
                <w:sz w:val="28"/>
                <w:szCs w:val="28"/>
              </w:rPr>
            </w:pPr>
            <w:r>
              <w:rPr>
                <w:rFonts w:hint="eastAsia" w:ascii="仿宋" w:hAnsi="仿宋" w:eastAsia="仿宋" w:cs="方正仿宋_GBK"/>
                <w:spacing w:val="3"/>
                <w:sz w:val="28"/>
                <w:szCs w:val="28"/>
              </w:rPr>
              <w:t>手机：</w:t>
            </w:r>
          </w:p>
          <w:p>
            <w:pPr>
              <w:overflowPunct w:val="0"/>
              <w:spacing w:line="560" w:lineRule="exact"/>
              <w:rPr>
                <w:rFonts w:ascii="仿宋" w:hAnsi="仿宋" w:eastAsia="仿宋" w:cs="方正仿宋_GBK"/>
                <w:spacing w:val="3"/>
                <w:sz w:val="28"/>
                <w:szCs w:val="28"/>
              </w:rPr>
            </w:pPr>
            <w:r>
              <w:rPr>
                <w:rFonts w:hint="eastAsia" w:ascii="仿宋" w:hAnsi="仿宋" w:eastAsia="仿宋" w:cs="方正仿宋_GBK"/>
                <w:spacing w:val="3"/>
                <w:sz w:val="28"/>
                <w:szCs w:val="28"/>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jc w:val="center"/>
        </w:trPr>
        <w:tc>
          <w:tcPr>
            <w:tcW w:w="1506" w:type="dxa"/>
            <w:vAlign w:val="center"/>
          </w:tcPr>
          <w:p>
            <w:pPr>
              <w:overflowPunct w:val="0"/>
              <w:spacing w:line="560" w:lineRule="exact"/>
              <w:jc w:val="center"/>
              <w:rPr>
                <w:rFonts w:ascii="仿宋" w:hAnsi="仿宋" w:eastAsia="仿宋" w:cs="方正仿宋_GBK"/>
                <w:spacing w:val="5"/>
                <w:sz w:val="28"/>
                <w:szCs w:val="28"/>
              </w:rPr>
            </w:pPr>
            <w:r>
              <w:rPr>
                <w:rFonts w:hint="eastAsia" w:ascii="仿宋" w:hAnsi="仿宋" w:eastAsia="仿宋" w:cs="方正仿宋_GBK"/>
                <w:spacing w:val="5"/>
                <w:sz w:val="28"/>
                <w:szCs w:val="28"/>
              </w:rPr>
              <w:t>职务</w:t>
            </w:r>
          </w:p>
        </w:tc>
        <w:tc>
          <w:tcPr>
            <w:tcW w:w="3122" w:type="dxa"/>
            <w:vAlign w:val="center"/>
          </w:tcPr>
          <w:p>
            <w:pPr>
              <w:overflowPunct w:val="0"/>
              <w:spacing w:line="560" w:lineRule="exact"/>
              <w:jc w:val="center"/>
              <w:rPr>
                <w:rFonts w:ascii="仿宋" w:hAnsi="仿宋" w:eastAsia="仿宋" w:cs="方正仿宋_GBK"/>
                <w:spacing w:val="5"/>
                <w:sz w:val="28"/>
                <w:szCs w:val="28"/>
              </w:rPr>
            </w:pPr>
          </w:p>
        </w:tc>
        <w:tc>
          <w:tcPr>
            <w:tcW w:w="1647" w:type="dxa"/>
            <w:vMerge w:val="continue"/>
            <w:tcBorders>
              <w:top w:val="nil"/>
            </w:tcBorders>
          </w:tcPr>
          <w:p>
            <w:pPr>
              <w:overflowPunct w:val="0"/>
              <w:spacing w:line="560" w:lineRule="exact"/>
              <w:rPr>
                <w:rFonts w:ascii="仿宋" w:hAnsi="仿宋" w:eastAsia="仿宋" w:cs="方正仿宋_GBK"/>
                <w:sz w:val="28"/>
                <w:szCs w:val="28"/>
              </w:rPr>
            </w:pPr>
          </w:p>
        </w:tc>
        <w:tc>
          <w:tcPr>
            <w:tcW w:w="2984" w:type="dxa"/>
            <w:gridSpan w:val="2"/>
            <w:vMerge w:val="continue"/>
            <w:tcBorders>
              <w:top w:val="nil"/>
            </w:tcBorders>
          </w:tcPr>
          <w:p>
            <w:pPr>
              <w:overflowPunct w:val="0"/>
              <w:spacing w:line="560" w:lineRule="exact"/>
              <w:rPr>
                <w:rFonts w:ascii="仿宋" w:hAnsi="仿宋" w:eastAsia="仿宋" w:cs="方正仿宋_GBK"/>
                <w:sz w:val="28"/>
                <w:szCs w:val="28"/>
              </w:rPr>
            </w:pPr>
          </w:p>
        </w:tc>
      </w:tr>
    </w:tbl>
    <w:p>
      <w:pPr>
        <w:overflowPunct w:val="0"/>
        <w:spacing w:line="560" w:lineRule="exact"/>
        <w:rPr>
          <w:rFonts w:ascii="黑体" w:hAnsi="黑体" w:eastAsia="黑体" w:cs="黑体"/>
          <w:sz w:val="32"/>
          <w:szCs w:val="32"/>
        </w:rPr>
      </w:pPr>
      <w:r>
        <w:rPr>
          <w:rFonts w:hint="eastAsia" w:ascii="方正仿宋_GBK" w:hAnsi="方正仿宋_GBK" w:eastAsia="方正仿宋_GBK" w:cs="方正仿宋_GBK"/>
          <w:sz w:val="28"/>
          <w:szCs w:val="28"/>
        </w:rPr>
        <w:t>注：本表可以根据实际情况多页填写。</w:t>
      </w: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7"/>
          <w:sz w:val="32"/>
          <w:szCs w:val="32"/>
        </w:rPr>
      </w:pPr>
      <w:r>
        <w:rPr>
          <w:rFonts w:hint="eastAsia" w:ascii="黑体" w:hAnsi="黑体" w:eastAsia="黑体" w:cs="黑体"/>
          <w:spacing w:val="-9"/>
          <w:sz w:val="32"/>
          <w:szCs w:val="32"/>
        </w:rPr>
        <w:t>附</w:t>
      </w:r>
      <w:r>
        <w:rPr>
          <w:rFonts w:hint="eastAsia" w:ascii="黑体" w:hAnsi="黑体" w:eastAsia="黑体" w:cs="黑体"/>
          <w:spacing w:val="-7"/>
          <w:sz w:val="32"/>
          <w:szCs w:val="32"/>
        </w:rPr>
        <w:t>件</w:t>
      </w:r>
      <w:r>
        <w:rPr>
          <w:rFonts w:ascii="黑体" w:hAnsi="黑体" w:eastAsia="黑体" w:cs="黑体"/>
          <w:spacing w:val="-7"/>
          <w:sz w:val="32"/>
          <w:szCs w:val="32"/>
        </w:rPr>
        <w:t>4</w:t>
      </w:r>
    </w:p>
    <w:p>
      <w:pPr>
        <w:pStyle w:val="2"/>
      </w:pPr>
    </w:p>
    <w:p>
      <w:pPr>
        <w:overflowPunct w:val="0"/>
        <w:spacing w:line="560" w:lineRule="exact"/>
        <w:ind w:firstLine="481"/>
        <w:jc w:val="center"/>
      </w:pPr>
      <w:r>
        <w:rPr>
          <w:rFonts w:hint="eastAsia" w:ascii="方正小标宋_GBK" w:hAnsi="方正小标宋_GBK" w:eastAsia="方正小标宋_GBK" w:cs="方正小标宋_GBK"/>
          <w:spacing w:val="-4"/>
          <w:sz w:val="44"/>
          <w:szCs w:val="44"/>
        </w:rPr>
        <w:t>疫苗安全重大信息报告表</w:t>
      </w:r>
      <w:r>
        <w:rPr>
          <w:rFonts w:ascii="方正小标宋_GBK" w:hAnsi="方正小标宋_GBK" w:eastAsia="方正小标宋_GBK" w:cs="方正小标宋_GBK"/>
          <w:spacing w:val="-4"/>
          <w:sz w:val="44"/>
          <w:szCs w:val="44"/>
        </w:rPr>
        <w:t>(</w:t>
      </w:r>
      <w:r>
        <w:rPr>
          <w:rFonts w:hint="eastAsia" w:ascii="方正小标宋_GBK" w:hAnsi="方正小标宋_GBK" w:eastAsia="方正小标宋_GBK" w:cs="方正小标宋_GBK"/>
          <w:spacing w:val="-4"/>
          <w:sz w:val="44"/>
          <w:szCs w:val="44"/>
        </w:rPr>
        <w:t>续报</w:t>
      </w:r>
      <w:r>
        <w:rPr>
          <w:rFonts w:ascii="方正小标宋_GBK" w:hAnsi="方正小标宋_GBK" w:eastAsia="方正小标宋_GBK" w:cs="方正小标宋_GBK"/>
          <w:spacing w:val="-4"/>
          <w:sz w:val="44"/>
          <w:szCs w:val="44"/>
        </w:rPr>
        <w:t>)</w:t>
      </w:r>
    </w:p>
    <w:p>
      <w:pPr>
        <w:overflowPunct w:val="0"/>
        <w:spacing w:line="240" w:lineRule="exact"/>
      </w:pPr>
    </w:p>
    <w:tbl>
      <w:tblPr>
        <w:tblStyle w:val="7"/>
        <w:tblW w:w="9017"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6"/>
        <w:gridCol w:w="2252"/>
        <w:gridCol w:w="1127"/>
        <w:gridCol w:w="1147"/>
        <w:gridCol w:w="2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2256"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6"/>
                <w:position w:val="1"/>
                <w:sz w:val="28"/>
                <w:szCs w:val="28"/>
              </w:rPr>
              <w:t>事</w:t>
            </w:r>
            <w:r>
              <w:rPr>
                <w:rFonts w:hint="eastAsia" w:ascii="仿宋" w:hAnsi="仿宋" w:eastAsia="仿宋" w:cs="方正仿宋_GBK"/>
                <w:spacing w:val="4"/>
                <w:position w:val="1"/>
                <w:sz w:val="28"/>
                <w:szCs w:val="28"/>
              </w:rPr>
              <w:t>件名称</w:t>
            </w:r>
          </w:p>
        </w:tc>
        <w:tc>
          <w:tcPr>
            <w:tcW w:w="6761" w:type="dxa"/>
            <w:gridSpan w:val="4"/>
            <w:vAlign w:val="center"/>
          </w:tcPr>
          <w:p>
            <w:pPr>
              <w:overflowPunct w:val="0"/>
              <w:spacing w:line="560" w:lineRule="exact"/>
              <w:jc w:val="center"/>
              <w:rPr>
                <w:rFonts w:ascii="仿宋" w:hAnsi="仿宋" w:eastAsia="仿宋"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256" w:type="dxa"/>
            <w:vAlign w:val="center"/>
          </w:tcPr>
          <w:p>
            <w:pPr>
              <w:overflowPunct w:val="0"/>
              <w:spacing w:line="560" w:lineRule="exact"/>
              <w:jc w:val="center"/>
              <w:rPr>
                <w:rFonts w:ascii="仿宋" w:hAnsi="仿宋" w:eastAsia="仿宋" w:cs="方正仿宋_GBK"/>
                <w:spacing w:val="5"/>
                <w:sz w:val="28"/>
                <w:szCs w:val="28"/>
              </w:rPr>
            </w:pPr>
            <w:r>
              <w:rPr>
                <w:rFonts w:hint="eastAsia" w:ascii="仿宋" w:hAnsi="仿宋" w:eastAsia="仿宋" w:cs="方正仿宋_GBK"/>
                <w:spacing w:val="5"/>
                <w:sz w:val="28"/>
                <w:szCs w:val="28"/>
              </w:rPr>
              <w:t>初步判断</w:t>
            </w:r>
          </w:p>
        </w:tc>
        <w:tc>
          <w:tcPr>
            <w:tcW w:w="3379" w:type="dxa"/>
            <w:gridSpan w:val="2"/>
            <w:tcBorders>
              <w:right w:val="nil"/>
            </w:tcBorders>
            <w:vAlign w:val="center"/>
          </w:tcPr>
          <w:p>
            <w:pPr>
              <w:overflowPunct w:val="0"/>
              <w:spacing w:line="560" w:lineRule="exact"/>
              <w:jc w:val="center"/>
              <w:rPr>
                <w:rFonts w:ascii="仿宋" w:hAnsi="仿宋" w:eastAsia="仿宋" w:cs="方正仿宋_GBK"/>
                <w:sz w:val="28"/>
                <w:szCs w:val="28"/>
              </w:rPr>
            </w:pPr>
            <w:r>
              <w:rPr>
                <w:rFonts w:ascii="仿宋" w:hAnsi="仿宋" w:eastAsia="仿宋" w:cs="方正仿宋_GBK"/>
                <w:sz w:val="28"/>
                <w:szCs w:val="28"/>
              </w:rPr>
              <w:t>(   )</w:t>
            </w:r>
            <w:r>
              <w:rPr>
                <w:rFonts w:hint="eastAsia" w:ascii="仿宋" w:hAnsi="仿宋" w:eastAsia="仿宋" w:cs="方正仿宋_GBK"/>
                <w:sz w:val="28"/>
                <w:szCs w:val="28"/>
              </w:rPr>
              <w:t>特大</w:t>
            </w:r>
            <w:r>
              <w:rPr>
                <w:rFonts w:ascii="仿宋" w:hAnsi="仿宋" w:eastAsia="仿宋" w:cs="方正仿宋_GBK"/>
                <w:sz w:val="28"/>
                <w:szCs w:val="28"/>
              </w:rPr>
              <w:t>(</w:t>
            </w:r>
            <w:r>
              <w:rPr>
                <w:rFonts w:hint="eastAsia" w:ascii="仿宋" w:hAnsi="仿宋" w:eastAsia="仿宋" w:cs="方正仿宋_GBK"/>
                <w:sz w:val="28"/>
                <w:szCs w:val="28"/>
              </w:rPr>
              <w:t>Ⅰ级</w:t>
            </w:r>
            <w:r>
              <w:rPr>
                <w:rFonts w:ascii="仿宋" w:hAnsi="仿宋" w:eastAsia="仿宋" w:cs="方正仿宋_GBK"/>
                <w:sz w:val="28"/>
                <w:szCs w:val="28"/>
              </w:rPr>
              <w:t>)</w:t>
            </w:r>
          </w:p>
          <w:p>
            <w:pPr>
              <w:overflowPunct w:val="0"/>
              <w:spacing w:line="560" w:lineRule="exact"/>
              <w:jc w:val="center"/>
              <w:rPr>
                <w:rFonts w:ascii="仿宋" w:hAnsi="仿宋" w:eastAsia="仿宋" w:cs="方正仿宋_GBK"/>
                <w:sz w:val="28"/>
                <w:szCs w:val="28"/>
              </w:rPr>
            </w:pPr>
            <w:r>
              <w:rPr>
                <w:rFonts w:ascii="仿宋" w:hAnsi="仿宋" w:eastAsia="仿宋" w:cs="方正仿宋_GBK"/>
                <w:sz w:val="28"/>
                <w:szCs w:val="28"/>
              </w:rPr>
              <w:t>(   )</w:t>
            </w:r>
            <w:r>
              <w:rPr>
                <w:rFonts w:hint="eastAsia" w:ascii="仿宋" w:hAnsi="仿宋" w:eastAsia="仿宋" w:cs="方正仿宋_GBK"/>
                <w:sz w:val="28"/>
                <w:szCs w:val="28"/>
              </w:rPr>
              <w:t>较大</w:t>
            </w:r>
            <w:r>
              <w:rPr>
                <w:rFonts w:ascii="仿宋" w:hAnsi="仿宋" w:eastAsia="仿宋" w:cs="方正仿宋_GBK"/>
                <w:sz w:val="28"/>
                <w:szCs w:val="28"/>
              </w:rPr>
              <w:t>(</w:t>
            </w:r>
            <w:r>
              <w:rPr>
                <w:rFonts w:hint="eastAsia" w:ascii="仿宋" w:hAnsi="仿宋" w:eastAsia="仿宋" w:cs="方正仿宋_GBK"/>
                <w:sz w:val="28"/>
                <w:szCs w:val="28"/>
              </w:rPr>
              <w:t>Ⅲ级</w:t>
            </w:r>
            <w:r>
              <w:rPr>
                <w:rFonts w:ascii="仿宋" w:hAnsi="仿宋" w:eastAsia="仿宋" w:cs="方正仿宋_GBK"/>
                <w:sz w:val="28"/>
                <w:szCs w:val="28"/>
              </w:rPr>
              <w:t>)</w:t>
            </w:r>
          </w:p>
        </w:tc>
        <w:tc>
          <w:tcPr>
            <w:tcW w:w="3382" w:type="dxa"/>
            <w:gridSpan w:val="2"/>
            <w:tcBorders>
              <w:left w:val="nil"/>
            </w:tcBorders>
            <w:vAlign w:val="center"/>
          </w:tcPr>
          <w:p>
            <w:pPr>
              <w:overflowPunct w:val="0"/>
              <w:spacing w:line="560" w:lineRule="exact"/>
              <w:jc w:val="center"/>
              <w:rPr>
                <w:rFonts w:ascii="仿宋" w:hAnsi="仿宋" w:eastAsia="仿宋" w:cs="方正仿宋_GBK"/>
                <w:sz w:val="28"/>
                <w:szCs w:val="28"/>
              </w:rPr>
            </w:pPr>
            <w:r>
              <w:rPr>
                <w:rFonts w:ascii="仿宋" w:hAnsi="仿宋" w:eastAsia="仿宋" w:cs="方正仿宋_GBK"/>
                <w:sz w:val="28"/>
                <w:szCs w:val="28"/>
              </w:rPr>
              <w:t>(   )</w:t>
            </w:r>
            <w:r>
              <w:rPr>
                <w:rFonts w:hint="eastAsia" w:ascii="仿宋" w:hAnsi="仿宋" w:eastAsia="仿宋" w:cs="方正仿宋_GBK"/>
                <w:sz w:val="28"/>
                <w:szCs w:val="28"/>
              </w:rPr>
              <w:t>重大</w:t>
            </w:r>
            <w:r>
              <w:rPr>
                <w:rFonts w:ascii="仿宋" w:hAnsi="仿宋" w:eastAsia="仿宋" w:cs="方正仿宋_GBK"/>
                <w:sz w:val="28"/>
                <w:szCs w:val="28"/>
              </w:rPr>
              <w:t>(</w:t>
            </w:r>
            <w:r>
              <w:rPr>
                <w:rFonts w:hint="eastAsia" w:ascii="仿宋" w:hAnsi="仿宋" w:eastAsia="仿宋" w:cs="方正仿宋_GBK"/>
                <w:sz w:val="28"/>
                <w:szCs w:val="28"/>
              </w:rPr>
              <w:t>Ⅱ级</w:t>
            </w:r>
            <w:r>
              <w:rPr>
                <w:rFonts w:ascii="仿宋" w:hAnsi="仿宋" w:eastAsia="仿宋" w:cs="方正仿宋_GBK"/>
                <w:sz w:val="28"/>
                <w:szCs w:val="28"/>
              </w:rPr>
              <w:t>)</w:t>
            </w:r>
          </w:p>
          <w:p>
            <w:pPr>
              <w:overflowPunct w:val="0"/>
              <w:spacing w:line="560" w:lineRule="exact"/>
              <w:jc w:val="center"/>
              <w:rPr>
                <w:rFonts w:ascii="仿宋" w:hAnsi="仿宋" w:eastAsia="仿宋" w:cs="方正仿宋_GBK"/>
                <w:sz w:val="28"/>
                <w:szCs w:val="28"/>
              </w:rPr>
            </w:pPr>
            <w:r>
              <w:rPr>
                <w:rFonts w:ascii="仿宋" w:hAnsi="仿宋" w:eastAsia="仿宋" w:cs="方正仿宋_GBK"/>
                <w:sz w:val="28"/>
                <w:szCs w:val="28"/>
              </w:rPr>
              <w:t>(   )</w:t>
            </w:r>
            <w:r>
              <w:rPr>
                <w:rFonts w:hint="eastAsia" w:ascii="仿宋" w:hAnsi="仿宋" w:eastAsia="仿宋" w:cs="方正仿宋_GBK"/>
                <w:sz w:val="28"/>
                <w:szCs w:val="28"/>
              </w:rPr>
              <w:t>一般</w:t>
            </w:r>
            <w:r>
              <w:rPr>
                <w:rFonts w:ascii="仿宋" w:hAnsi="仿宋" w:eastAsia="仿宋" w:cs="方正仿宋_GBK"/>
                <w:sz w:val="28"/>
                <w:szCs w:val="28"/>
              </w:rPr>
              <w:t>(</w:t>
            </w:r>
            <w:r>
              <w:rPr>
                <w:rFonts w:hint="eastAsia" w:ascii="仿宋" w:hAnsi="仿宋" w:eastAsia="仿宋" w:cs="方正仿宋_GBK"/>
                <w:sz w:val="28"/>
                <w:szCs w:val="28"/>
              </w:rPr>
              <w:t>Ⅳ级</w:t>
            </w:r>
            <w:r>
              <w:rPr>
                <w:rFonts w:ascii="仿宋" w:hAnsi="仿宋" w:eastAsia="仿宋" w:cs="方正仿宋_GBK"/>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4" w:hRule="atLeast"/>
        </w:trPr>
        <w:tc>
          <w:tcPr>
            <w:tcW w:w="2256" w:type="dxa"/>
            <w:vAlign w:val="center"/>
          </w:tcPr>
          <w:p>
            <w:pPr>
              <w:overflowPunct w:val="0"/>
              <w:spacing w:line="560" w:lineRule="exact"/>
              <w:jc w:val="center"/>
              <w:rPr>
                <w:rFonts w:ascii="仿宋" w:hAnsi="仿宋" w:eastAsia="仿宋" w:cs="方正仿宋_GBK"/>
                <w:spacing w:val="5"/>
                <w:sz w:val="28"/>
                <w:szCs w:val="28"/>
              </w:rPr>
            </w:pPr>
            <w:r>
              <w:rPr>
                <w:rFonts w:hint="eastAsia" w:ascii="仿宋" w:hAnsi="仿宋" w:eastAsia="仿宋" w:cs="方正仿宋_GBK"/>
                <w:spacing w:val="5"/>
                <w:sz w:val="28"/>
                <w:szCs w:val="28"/>
              </w:rPr>
              <w:t>基本情况</w:t>
            </w:r>
          </w:p>
        </w:tc>
        <w:tc>
          <w:tcPr>
            <w:tcW w:w="6761" w:type="dxa"/>
            <w:gridSpan w:val="4"/>
          </w:tcPr>
          <w:p>
            <w:pPr>
              <w:overflowPunct w:val="0"/>
              <w:spacing w:line="560" w:lineRule="exact"/>
              <w:rPr>
                <w:rFonts w:ascii="仿宋" w:hAnsi="仿宋" w:eastAsia="仿宋" w:cs="方正仿宋_GBK"/>
                <w:sz w:val="28"/>
                <w:szCs w:val="28"/>
              </w:rPr>
            </w:pPr>
            <w:r>
              <w:rPr>
                <w:rFonts w:hint="eastAsia" w:ascii="仿宋" w:hAnsi="仿宋" w:eastAsia="仿宋" w:cs="方正仿宋_GBK"/>
                <w:spacing w:val="16"/>
                <w:sz w:val="28"/>
                <w:szCs w:val="28"/>
              </w:rPr>
              <w:t>（事件进展情况：主要包括事件调查核实情况、</w:t>
            </w:r>
            <w:r>
              <w:rPr>
                <w:rFonts w:hint="eastAsia" w:ascii="仿宋" w:hAnsi="仿宋" w:eastAsia="仿宋" w:cs="方正仿宋_GBK"/>
                <w:spacing w:val="13"/>
                <w:sz w:val="28"/>
                <w:szCs w:val="28"/>
              </w:rPr>
              <w:t>处</w:t>
            </w:r>
            <w:r>
              <w:rPr>
                <w:rFonts w:hint="eastAsia" w:ascii="仿宋" w:hAnsi="仿宋" w:eastAsia="仿宋" w:cs="方正仿宋_GBK"/>
                <w:spacing w:val="8"/>
                <w:sz w:val="28"/>
                <w:szCs w:val="28"/>
              </w:rPr>
              <w:t>置</w:t>
            </w:r>
            <w:r>
              <w:rPr>
                <w:rFonts w:hint="eastAsia" w:ascii="仿宋" w:hAnsi="仿宋" w:eastAsia="仿宋" w:cs="方正仿宋_GBK"/>
                <w:spacing w:val="7"/>
                <w:sz w:val="28"/>
                <w:szCs w:val="28"/>
              </w:rPr>
              <w:t>进展情况</w:t>
            </w:r>
            <w:r>
              <w:rPr>
                <w:rFonts w:hint="eastAsia" w:ascii="仿宋" w:hAnsi="仿宋" w:eastAsia="仿宋" w:cs="方正仿宋_GBK"/>
                <w:spacing w:val="16"/>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2256"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5"/>
                <w:sz w:val="28"/>
                <w:szCs w:val="28"/>
              </w:rPr>
              <w:t>续报单</w:t>
            </w:r>
            <w:r>
              <w:rPr>
                <w:rFonts w:hint="eastAsia" w:ascii="仿宋" w:hAnsi="仿宋" w:eastAsia="仿宋" w:cs="方正仿宋_GBK"/>
                <w:spacing w:val="4"/>
                <w:sz w:val="28"/>
                <w:szCs w:val="28"/>
              </w:rPr>
              <w:t>位</w:t>
            </w:r>
          </w:p>
        </w:tc>
        <w:tc>
          <w:tcPr>
            <w:tcW w:w="2252" w:type="dxa"/>
            <w:vAlign w:val="center"/>
          </w:tcPr>
          <w:p>
            <w:pPr>
              <w:overflowPunct w:val="0"/>
              <w:spacing w:line="560" w:lineRule="exact"/>
              <w:jc w:val="center"/>
              <w:rPr>
                <w:rFonts w:ascii="仿宋" w:hAnsi="仿宋" w:eastAsia="仿宋" w:cs="方正仿宋_GBK"/>
                <w:sz w:val="28"/>
                <w:szCs w:val="28"/>
              </w:rPr>
            </w:pPr>
          </w:p>
        </w:tc>
        <w:tc>
          <w:tcPr>
            <w:tcW w:w="2274" w:type="dxa"/>
            <w:gridSpan w:val="2"/>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5"/>
                <w:sz w:val="28"/>
                <w:szCs w:val="28"/>
              </w:rPr>
              <w:t>续报时</w:t>
            </w:r>
            <w:r>
              <w:rPr>
                <w:rFonts w:hint="eastAsia" w:ascii="仿宋" w:hAnsi="仿宋" w:eastAsia="仿宋" w:cs="方正仿宋_GBK"/>
                <w:spacing w:val="4"/>
                <w:sz w:val="28"/>
                <w:szCs w:val="28"/>
              </w:rPr>
              <w:t>间</w:t>
            </w:r>
          </w:p>
        </w:tc>
        <w:tc>
          <w:tcPr>
            <w:tcW w:w="2235" w:type="dxa"/>
          </w:tcPr>
          <w:p>
            <w:pPr>
              <w:overflowPunct w:val="0"/>
              <w:spacing w:line="560" w:lineRule="exact"/>
              <w:rPr>
                <w:rFonts w:ascii="仿宋" w:hAnsi="仿宋" w:eastAsia="仿宋"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256" w:type="dxa"/>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pacing w:val="3"/>
                <w:sz w:val="28"/>
                <w:szCs w:val="28"/>
              </w:rPr>
              <w:t>报告人</w:t>
            </w:r>
          </w:p>
        </w:tc>
        <w:tc>
          <w:tcPr>
            <w:tcW w:w="2252" w:type="dxa"/>
            <w:vAlign w:val="center"/>
          </w:tcPr>
          <w:p>
            <w:pPr>
              <w:overflowPunct w:val="0"/>
              <w:spacing w:line="560" w:lineRule="exact"/>
              <w:jc w:val="center"/>
              <w:rPr>
                <w:rFonts w:ascii="仿宋" w:hAnsi="仿宋" w:eastAsia="仿宋" w:cs="方正仿宋_GBK"/>
                <w:sz w:val="28"/>
                <w:szCs w:val="28"/>
              </w:rPr>
            </w:pPr>
          </w:p>
        </w:tc>
        <w:tc>
          <w:tcPr>
            <w:tcW w:w="2274" w:type="dxa"/>
            <w:gridSpan w:val="2"/>
            <w:vMerge w:val="restart"/>
            <w:tcBorders>
              <w:bottom w:val="nil"/>
            </w:tcBorders>
            <w:vAlign w:val="center"/>
          </w:tcPr>
          <w:p>
            <w:pPr>
              <w:overflowPunct w:val="0"/>
              <w:spacing w:line="560" w:lineRule="exact"/>
              <w:jc w:val="center"/>
              <w:rPr>
                <w:rFonts w:ascii="仿宋" w:hAnsi="仿宋" w:eastAsia="仿宋" w:cs="方正仿宋_GBK"/>
                <w:sz w:val="28"/>
                <w:szCs w:val="28"/>
              </w:rPr>
            </w:pPr>
            <w:r>
              <w:rPr>
                <w:rFonts w:hint="eastAsia" w:ascii="仿宋" w:hAnsi="仿宋" w:eastAsia="仿宋" w:cs="方正仿宋_GBK"/>
                <w:sz w:val="28"/>
                <w:szCs w:val="28"/>
              </w:rPr>
              <w:t>联系电话</w:t>
            </w:r>
          </w:p>
        </w:tc>
        <w:tc>
          <w:tcPr>
            <w:tcW w:w="2235" w:type="dxa"/>
            <w:vMerge w:val="restart"/>
            <w:tcBorders>
              <w:bottom w:val="nil"/>
            </w:tcBorders>
          </w:tcPr>
          <w:p>
            <w:pPr>
              <w:overflowPunct w:val="0"/>
              <w:spacing w:line="560" w:lineRule="exact"/>
              <w:rPr>
                <w:rFonts w:ascii="仿宋" w:hAnsi="仿宋" w:eastAsia="仿宋" w:cs="方正仿宋_GBK"/>
                <w:spacing w:val="3"/>
                <w:sz w:val="28"/>
                <w:szCs w:val="28"/>
              </w:rPr>
            </w:pPr>
            <w:r>
              <w:rPr>
                <w:rFonts w:hint="eastAsia" w:ascii="仿宋" w:hAnsi="仿宋" w:eastAsia="仿宋" w:cs="方正仿宋_GBK"/>
                <w:spacing w:val="3"/>
                <w:sz w:val="28"/>
                <w:szCs w:val="28"/>
              </w:rPr>
              <w:t>座机：</w:t>
            </w:r>
          </w:p>
          <w:p>
            <w:pPr>
              <w:overflowPunct w:val="0"/>
              <w:spacing w:line="560" w:lineRule="exact"/>
              <w:rPr>
                <w:rFonts w:ascii="仿宋" w:hAnsi="仿宋" w:eastAsia="仿宋" w:cs="方正仿宋_GBK"/>
                <w:spacing w:val="3"/>
                <w:sz w:val="28"/>
                <w:szCs w:val="28"/>
              </w:rPr>
            </w:pPr>
            <w:r>
              <w:rPr>
                <w:rFonts w:hint="eastAsia" w:ascii="仿宋" w:hAnsi="仿宋" w:eastAsia="仿宋" w:cs="方正仿宋_GBK"/>
                <w:spacing w:val="3"/>
                <w:sz w:val="28"/>
                <w:szCs w:val="28"/>
              </w:rPr>
              <w:t>手机：</w:t>
            </w:r>
          </w:p>
          <w:p>
            <w:pPr>
              <w:overflowPunct w:val="0"/>
              <w:spacing w:line="560" w:lineRule="exact"/>
              <w:rPr>
                <w:rFonts w:ascii="仿宋" w:hAnsi="仿宋" w:eastAsia="仿宋" w:cs="方正仿宋_GBK"/>
                <w:spacing w:val="3"/>
                <w:sz w:val="28"/>
                <w:szCs w:val="28"/>
              </w:rPr>
            </w:pPr>
            <w:r>
              <w:rPr>
                <w:rFonts w:hint="eastAsia" w:ascii="仿宋" w:hAnsi="仿宋" w:eastAsia="仿宋" w:cs="方正仿宋_GBK"/>
                <w:spacing w:val="3"/>
                <w:sz w:val="28"/>
                <w:szCs w:val="28"/>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2256" w:type="dxa"/>
            <w:vAlign w:val="center"/>
          </w:tcPr>
          <w:p>
            <w:pPr>
              <w:overflowPunct w:val="0"/>
              <w:spacing w:line="560" w:lineRule="exact"/>
              <w:jc w:val="center"/>
              <w:rPr>
                <w:rFonts w:ascii="仿宋" w:hAnsi="仿宋" w:eastAsia="仿宋" w:cs="方正仿宋_GBK"/>
                <w:spacing w:val="5"/>
                <w:sz w:val="28"/>
                <w:szCs w:val="28"/>
              </w:rPr>
            </w:pPr>
            <w:r>
              <w:rPr>
                <w:rFonts w:hint="eastAsia" w:ascii="仿宋" w:hAnsi="仿宋" w:eastAsia="仿宋" w:cs="方正仿宋_GBK"/>
                <w:spacing w:val="5"/>
                <w:sz w:val="28"/>
                <w:szCs w:val="28"/>
              </w:rPr>
              <w:t>职务</w:t>
            </w:r>
          </w:p>
        </w:tc>
        <w:tc>
          <w:tcPr>
            <w:tcW w:w="2252" w:type="dxa"/>
          </w:tcPr>
          <w:p>
            <w:pPr>
              <w:overflowPunct w:val="0"/>
              <w:spacing w:line="560" w:lineRule="exact"/>
              <w:jc w:val="center"/>
              <w:rPr>
                <w:rFonts w:ascii="仿宋" w:hAnsi="仿宋" w:eastAsia="仿宋" w:cs="方正仿宋_GBK"/>
                <w:spacing w:val="5"/>
                <w:sz w:val="28"/>
                <w:szCs w:val="28"/>
              </w:rPr>
            </w:pPr>
          </w:p>
        </w:tc>
        <w:tc>
          <w:tcPr>
            <w:tcW w:w="2274" w:type="dxa"/>
            <w:gridSpan w:val="2"/>
            <w:vMerge w:val="continue"/>
            <w:tcBorders>
              <w:top w:val="nil"/>
            </w:tcBorders>
          </w:tcPr>
          <w:p>
            <w:pPr>
              <w:overflowPunct w:val="0"/>
              <w:spacing w:line="560" w:lineRule="exact"/>
              <w:rPr>
                <w:rFonts w:ascii="仿宋" w:hAnsi="仿宋" w:eastAsia="仿宋" w:cs="方正仿宋_GBK"/>
                <w:sz w:val="28"/>
                <w:szCs w:val="28"/>
              </w:rPr>
            </w:pPr>
          </w:p>
        </w:tc>
        <w:tc>
          <w:tcPr>
            <w:tcW w:w="2235" w:type="dxa"/>
            <w:vMerge w:val="continue"/>
            <w:tcBorders>
              <w:top w:val="nil"/>
            </w:tcBorders>
          </w:tcPr>
          <w:p>
            <w:pPr>
              <w:overflowPunct w:val="0"/>
              <w:spacing w:line="560" w:lineRule="exact"/>
              <w:rPr>
                <w:rFonts w:ascii="仿宋" w:hAnsi="仿宋" w:eastAsia="仿宋" w:cs="方正仿宋_GBK"/>
                <w:sz w:val="28"/>
                <w:szCs w:val="28"/>
              </w:rPr>
            </w:pPr>
          </w:p>
        </w:tc>
      </w:tr>
    </w:tbl>
    <w:p>
      <w:pPr>
        <w:overflowPunct w:val="0"/>
        <w:spacing w:line="560" w:lineRule="exact"/>
      </w:pPr>
      <w:r>
        <w:rPr>
          <w:rFonts w:hint="eastAsia" w:ascii="方正仿宋_GBK" w:hAnsi="方正仿宋_GBK" w:eastAsia="方正仿宋_GBK" w:cs="方正仿宋_GBK"/>
          <w:sz w:val="32"/>
          <w:szCs w:val="32"/>
        </w:rPr>
        <w:t>注：本表可以根据实际情况多页填写。</w:t>
      </w: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9"/>
          <w:sz w:val="32"/>
          <w:szCs w:val="32"/>
        </w:rPr>
      </w:pPr>
    </w:p>
    <w:p>
      <w:pPr>
        <w:overflowPunct w:val="0"/>
        <w:spacing w:line="560" w:lineRule="exact"/>
        <w:rPr>
          <w:rFonts w:ascii="黑体" w:hAnsi="黑体" w:eastAsia="黑体" w:cs="黑体"/>
          <w:spacing w:val="-7"/>
          <w:sz w:val="32"/>
          <w:szCs w:val="32"/>
        </w:rPr>
      </w:pPr>
      <w:r>
        <w:rPr>
          <w:rFonts w:hint="eastAsia" w:ascii="黑体" w:hAnsi="黑体" w:eastAsia="黑体" w:cs="黑体"/>
          <w:spacing w:val="-9"/>
          <w:sz w:val="32"/>
          <w:szCs w:val="32"/>
        </w:rPr>
        <w:t>附</w:t>
      </w:r>
      <w:r>
        <w:rPr>
          <w:rFonts w:hint="eastAsia" w:ascii="黑体" w:hAnsi="黑体" w:eastAsia="黑体" w:cs="黑体"/>
          <w:spacing w:val="-7"/>
          <w:sz w:val="32"/>
          <w:szCs w:val="32"/>
        </w:rPr>
        <w:t>件</w:t>
      </w:r>
      <w:r>
        <w:rPr>
          <w:rFonts w:ascii="黑体" w:hAnsi="黑体" w:eastAsia="黑体" w:cs="黑体"/>
          <w:spacing w:val="-7"/>
          <w:sz w:val="32"/>
          <w:szCs w:val="32"/>
        </w:rPr>
        <w:t>5</w:t>
      </w:r>
    </w:p>
    <w:p>
      <w:pPr>
        <w:pStyle w:val="2"/>
      </w:pPr>
    </w:p>
    <w:p>
      <w:pPr>
        <w:overflowPunct w:val="0"/>
        <w:spacing w:line="560" w:lineRule="exact"/>
        <w:ind w:firstLine="481"/>
        <w:jc w:val="center"/>
        <w:rPr>
          <w:rFonts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疫苗安全事件信息报告</w:t>
      </w:r>
    </w:p>
    <w:p>
      <w:pPr>
        <w:overflowPunct w:val="0"/>
        <w:spacing w:line="560" w:lineRule="exact"/>
        <w:ind w:firstLine="225"/>
        <w:textAlignment w:val="center"/>
        <w:rPr>
          <w:rFonts w:eastAsia="Times New Roman"/>
        </w:rPr>
      </w:pPr>
      <w:r>
        <w:pict>
          <v:group id="_x0000_s1027" o:spid="_x0000_s1027" o:spt="203" style="height:249.6pt;width:432pt;" coordorigin="2214,4090" coordsize="7200,4212" editas="canvas">
            <o:lock v:ext="edit"/>
            <v:shape id="_x0000_s1028" o:spid="_x0000_s1028" o:spt="75" type="#_x0000_t75" style="position:absolute;left:2214;top:4090;height:4212;width:7200;" filled="f" o:preferrelative="f" stroked="f" coordsize="21600,21600">
              <v:fill on="f" focussize="0,0"/>
              <v:stroke on="f" joinstyle="miter"/>
              <v:imagedata o:title=""/>
              <o:lock v:ext="edit" text="t" aspectratio="t"/>
            </v:shape>
            <v:line id="_x0000_s1029" o:spid="_x0000_s1029" o:spt="20" style="position:absolute;left:2214;top:6328;height:0;width:7200;" coordsize="21600,21600">
              <v:path arrowok="t"/>
              <v:fill focussize="0,0"/>
              <v:stroke/>
              <v:imagedata o:title=""/>
              <o:lock v:ext="edit"/>
            </v:line>
            <w10:wrap type="none"/>
            <w10:anchorlock/>
          </v:group>
        </w:pict>
      </w:r>
    </w:p>
    <w:p>
      <w:pPr>
        <w:spacing w:before="20" w:line="238" w:lineRule="auto"/>
        <w:ind w:left="20" w:firstLine="684"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pacing w:val="11"/>
          <w:sz w:val="32"/>
          <w:szCs w:val="32"/>
        </w:rPr>
        <w:t>×</w:t>
      </w:r>
      <w:r>
        <w:rPr>
          <w:rFonts w:hint="eastAsia" w:ascii="方正仿宋_GBK" w:hAnsi="方正仿宋_GBK" w:eastAsia="方正仿宋_GBK" w:cs="方正仿宋_GBK"/>
          <w:spacing w:val="9"/>
          <w:sz w:val="32"/>
          <w:szCs w:val="32"/>
        </w:rPr>
        <w:t>×××</w:t>
      </w:r>
      <w:r>
        <w:rPr>
          <w:rFonts w:ascii="方正仿宋_GBK" w:hAnsi="方正仿宋_GBK" w:eastAsia="方正仿宋_GBK" w:cs="方正仿宋_GBK"/>
          <w:spacing w:val="9"/>
          <w:sz w:val="32"/>
          <w:szCs w:val="32"/>
        </w:rPr>
        <w:t>(</w:t>
      </w:r>
      <w:r>
        <w:rPr>
          <w:rFonts w:hint="eastAsia" w:ascii="方正仿宋_GBK" w:hAnsi="方正仿宋_GBK" w:eastAsia="方正仿宋_GBK" w:cs="方正仿宋_GBK"/>
          <w:spacing w:val="9"/>
          <w:sz w:val="32"/>
          <w:szCs w:val="32"/>
        </w:rPr>
        <w:t>报告部门</w:t>
      </w:r>
      <w:r>
        <w:rPr>
          <w:rFonts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24"/>
          <w:sz w:val="32"/>
          <w:szCs w:val="32"/>
        </w:rPr>
        <w:t>签</w:t>
      </w:r>
      <w:r>
        <w:rPr>
          <w:rFonts w:hint="eastAsia" w:ascii="方正仿宋_GBK" w:hAnsi="方正仿宋_GBK" w:eastAsia="方正仿宋_GBK" w:cs="方正仿宋_GBK"/>
          <w:spacing w:val="-20"/>
          <w:sz w:val="32"/>
          <w:szCs w:val="32"/>
        </w:rPr>
        <w:t>发人：</w:t>
      </w:r>
    </w:p>
    <w:p>
      <w:pPr>
        <w:overflowPunct w:val="0"/>
        <w:spacing w:line="560" w:lineRule="exact"/>
        <w:ind w:firstLine="640" w:firstLineChars="200"/>
        <w:rPr>
          <w:rFonts w:ascii="宋体" w:cs="宋体"/>
          <w:sz w:val="32"/>
          <w:szCs w:val="32"/>
        </w:rPr>
      </w:pPr>
    </w:p>
    <w:p>
      <w:pPr>
        <w:overflowPunct w:val="0"/>
        <w:spacing w:line="560" w:lineRule="exact"/>
      </w:pPr>
    </w:p>
    <w:p>
      <w:pPr>
        <w:overflowPunct w:val="0"/>
        <w:spacing w:line="560" w:lineRule="exact"/>
        <w:jc w:val="center"/>
        <w:rPr>
          <w:rFonts w:ascii="黑体" w:hAnsi="黑体" w:eastAsia="黑体" w:cs="黑体"/>
          <w:sz w:val="44"/>
          <w:szCs w:val="44"/>
        </w:rPr>
      </w:pPr>
      <w:r>
        <w:rPr>
          <w:rFonts w:hint="eastAsia" w:ascii="黑体" w:hAnsi="黑体" w:eastAsia="黑体" w:cs="黑体"/>
          <w:spacing w:val="15"/>
          <w:sz w:val="44"/>
          <w:szCs w:val="44"/>
        </w:rPr>
        <w:t>题</w:t>
      </w:r>
      <w:r>
        <w:rPr>
          <w:rFonts w:ascii="黑体" w:hAnsi="黑体" w:eastAsia="黑体" w:cs="黑体"/>
          <w:spacing w:val="15"/>
          <w:sz w:val="44"/>
          <w:szCs w:val="44"/>
        </w:rPr>
        <w:t xml:space="preserve">  </w:t>
      </w:r>
      <w:r>
        <w:rPr>
          <w:rFonts w:hint="eastAsia" w:ascii="黑体" w:hAnsi="黑体" w:eastAsia="黑体" w:cs="黑体"/>
          <w:spacing w:val="14"/>
          <w:sz w:val="44"/>
          <w:szCs w:val="44"/>
        </w:rPr>
        <w:t>目</w:t>
      </w:r>
    </w:p>
    <w:p>
      <w:pPr>
        <w:overflowPunct w:val="0"/>
        <w:spacing w:line="560" w:lineRule="exact"/>
      </w:pPr>
    </w:p>
    <w:p>
      <w:pPr>
        <w:spacing w:before="20" w:line="238" w:lineRule="auto"/>
        <w:ind w:left="20" w:firstLine="676" w:firstLineChars="200"/>
        <w:rPr>
          <w:rFonts w:ascii="方正仿宋_GBK" w:hAnsi="方正仿宋_GBK" w:eastAsia="方正仿宋_GBK" w:cs="方正仿宋_GBK"/>
          <w:spacing w:val="9"/>
          <w:sz w:val="32"/>
          <w:szCs w:val="32"/>
        </w:rPr>
      </w:pPr>
      <w:r>
        <w:rPr>
          <w:rFonts w:ascii="方正仿宋_GBK" w:hAnsi="方正仿宋_GBK" w:eastAsia="方正仿宋_GBK" w:cs="方正仿宋_GBK"/>
          <w:spacing w:val="9"/>
          <w:sz w:val="32"/>
          <w:szCs w:val="32"/>
        </w:rPr>
        <w:t>(</w:t>
      </w:r>
      <w:r>
        <w:rPr>
          <w:rFonts w:hint="eastAsia" w:ascii="方正仿宋_GBK" w:hAnsi="方正仿宋_GBK" w:eastAsia="方正仿宋_GBK" w:cs="方正仿宋_GBK"/>
          <w:spacing w:val="9"/>
          <w:sz w:val="32"/>
          <w:szCs w:val="32"/>
        </w:rPr>
        <w:t>正文按公文格式排版</w:t>
      </w:r>
      <w:r>
        <w:rPr>
          <w:rFonts w:ascii="方正仿宋_GBK" w:hAnsi="方正仿宋_GBK" w:eastAsia="方正仿宋_GBK" w:cs="方正仿宋_GBK"/>
          <w:spacing w:val="9"/>
          <w:sz w:val="32"/>
          <w:szCs w:val="32"/>
        </w:rPr>
        <w:t>)</w:t>
      </w:r>
    </w:p>
    <w:p>
      <w:pPr>
        <w:overflowPunct w:val="0"/>
        <w:spacing w:line="560" w:lineRule="exact"/>
      </w:pPr>
    </w:p>
    <w:p>
      <w:pPr>
        <w:overflowPunct w:val="0"/>
        <w:spacing w:line="560" w:lineRule="exact"/>
      </w:pPr>
    </w:p>
    <w:p>
      <w:pPr>
        <w:overflowPunct w:val="0"/>
        <w:spacing w:line="560" w:lineRule="exact"/>
      </w:pPr>
    </w:p>
    <w:p>
      <w:pPr>
        <w:overflowPunct w:val="0"/>
        <w:spacing w:line="560" w:lineRule="exact"/>
      </w:pPr>
    </w:p>
    <w:p>
      <w:pPr>
        <w:overflowPunct w:val="0"/>
        <w:spacing w:line="560" w:lineRule="exact"/>
      </w:pPr>
    </w:p>
    <w:p>
      <w:pPr>
        <w:overflowPunct w:val="0"/>
        <w:spacing w:line="560" w:lineRule="exact"/>
      </w:pPr>
    </w:p>
    <w:p>
      <w:pPr>
        <w:overflowPunct w:val="0"/>
        <w:spacing w:line="560" w:lineRule="exact"/>
      </w:pPr>
    </w:p>
    <w:p>
      <w:pPr>
        <w:pStyle w:val="2"/>
      </w:pPr>
    </w:p>
    <w:p>
      <w:pPr>
        <w:pStyle w:val="2"/>
      </w:pPr>
    </w:p>
    <w:p>
      <w:pPr>
        <w:spacing w:before="20" w:line="238" w:lineRule="auto"/>
        <w:ind w:left="20" w:firstLine="420" w:firstLineChars="200"/>
        <w:rPr>
          <w:rFonts w:ascii="方正仿宋_GBK" w:hAnsi="方正仿宋_GBK" w:eastAsia="方正仿宋_GBK" w:cs="方正仿宋_GBK"/>
          <w:spacing w:val="9"/>
          <w:sz w:val="32"/>
          <w:szCs w:val="32"/>
        </w:rPr>
      </w:pPr>
      <w:r>
        <w:pict>
          <v:line id="_x0000_s1031" o:spid="_x0000_s1031" o:spt="20" style="position:absolute;left:0pt;margin-left:0.75pt;margin-top:23.95pt;height:0pt;width:432pt;mso-wrap-distance-left:9pt;mso-wrap-distance-right:9pt;z-index:251659264;mso-width-relative:page;mso-height-relative:page;" coordsize="21600,21600" wrapcoords="1 1 577 1 577 1 1 1 1 1">
            <v:path arrowok="t"/>
            <v:fill focussize="0,0"/>
            <v:stroke/>
            <v:imagedata o:title=""/>
            <o:lock v:ext="edit"/>
            <w10:wrap type="tight"/>
          </v:line>
        </w:pict>
      </w:r>
    </w:p>
    <w:p>
      <w:pPr>
        <w:spacing w:before="20" w:line="238" w:lineRule="auto"/>
        <w:ind w:left="20" w:firstLine="676" w:firstLineChars="200"/>
        <w:rPr>
          <w:rFonts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t>主送：××××人民政府</w:t>
      </w:r>
      <w:r>
        <w:rPr>
          <w:rFonts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9"/>
          <w:sz w:val="32"/>
          <w:szCs w:val="32"/>
        </w:rPr>
        <w:t>抄送：</w:t>
      </w:r>
    </w:p>
    <w:p>
      <w:pPr>
        <w:spacing w:before="20" w:line="238" w:lineRule="auto"/>
        <w:rPr>
          <w:rFonts w:ascii="方正仿宋_GBK" w:hAnsi="方正仿宋_GBK" w:eastAsia="方正仿宋_GBK" w:cs="方正仿宋_GBK"/>
          <w:spacing w:val="9"/>
          <w:sz w:val="32"/>
          <w:szCs w:val="32"/>
        </w:rPr>
      </w:pPr>
    </w:p>
    <w:p>
      <w:pPr>
        <w:spacing w:before="20" w:line="238" w:lineRule="auto"/>
        <w:ind w:left="20" w:firstLine="676" w:firstLineChars="200"/>
        <w:rPr>
          <w:rFonts w:ascii="方正仿宋_GBK" w:hAnsi="方正仿宋_GBK" w:eastAsia="方正仿宋_GBK" w:cs="方正仿宋_GBK"/>
          <w:spacing w:val="9"/>
          <w:sz w:val="32"/>
          <w:szCs w:val="32"/>
        </w:rPr>
      </w:pPr>
      <w:r>
        <w:rPr>
          <w:rFonts w:hint="eastAsia" w:ascii="方正仿宋_GBK" w:hAnsi="方正仿宋_GBK" w:eastAsia="方正仿宋_GBK" w:cs="方正仿宋_GBK"/>
          <w:spacing w:val="9"/>
          <w:sz w:val="32"/>
          <w:szCs w:val="32"/>
        </w:rPr>
        <w:t>联系人姓名及手机：</w:t>
      </w:r>
      <w:r>
        <w:rPr>
          <w:rFonts w:ascii="方正仿宋_GBK" w:hAnsi="方正仿宋_GBK" w:eastAsia="方正仿宋_GBK" w:cs="方正仿宋_GBK"/>
          <w:spacing w:val="9"/>
          <w:sz w:val="32"/>
          <w:szCs w:val="32"/>
        </w:rPr>
        <w:t xml:space="preserve">               </w:t>
      </w:r>
      <w:r>
        <w:rPr>
          <w:rFonts w:hint="eastAsia" w:ascii="方正仿宋_GBK" w:hAnsi="方正仿宋_GBK" w:eastAsia="方正仿宋_GBK" w:cs="方正仿宋_GBK"/>
          <w:spacing w:val="9"/>
          <w:sz w:val="32"/>
          <w:szCs w:val="32"/>
        </w:rPr>
        <w:t>岗位及职务：</w:t>
      </w:r>
    </w:p>
    <w:p>
      <w:pPr>
        <w:pStyle w:val="2"/>
        <w:rPr>
          <w:rFonts w:ascii="仿宋" w:hAnsi="仿宋" w:eastAsia="仿宋" w:cs="仿宋_GB2312"/>
          <w:sz w:val="32"/>
          <w:szCs w:val="32"/>
        </w:rPr>
      </w:pPr>
    </w:p>
    <w:p>
      <w:pPr>
        <w:spacing w:line="560" w:lineRule="exact"/>
      </w:pPr>
      <w:bookmarkStart w:id="0" w:name="_GoBack"/>
      <w:bookmarkEnd w:id="0"/>
    </w:p>
    <w:sectPr>
      <w:footerReference r:id="rId3" w:type="default"/>
      <w:pgSz w:w="11906" w:h="16838"/>
      <w:pgMar w:top="1418" w:right="1588" w:bottom="141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rPr>
                    <w:rFonts w:ascii="宋体" w:hAnsi="宋体" w:cs="??"/>
                    <w:sz w:val="24"/>
                    <w:szCs w:val="24"/>
                  </w:rPr>
                </w:pPr>
                <w:r>
                  <w:rPr>
                    <w:rFonts w:ascii="宋体" w:hAnsi="宋体" w:cs="??"/>
                    <w:sz w:val="24"/>
                    <w:szCs w:val="24"/>
                  </w:rPr>
                  <w:t xml:space="preserve">— </w:t>
                </w:r>
                <w:r>
                  <w:rPr>
                    <w:rFonts w:ascii="宋体" w:hAnsi="宋体" w:cs="??"/>
                    <w:sz w:val="24"/>
                    <w:szCs w:val="24"/>
                  </w:rPr>
                  <w:fldChar w:fldCharType="begin"/>
                </w:r>
                <w:r>
                  <w:rPr>
                    <w:rFonts w:ascii="宋体" w:hAnsi="宋体" w:cs="??"/>
                    <w:sz w:val="24"/>
                    <w:szCs w:val="24"/>
                  </w:rPr>
                  <w:instrText xml:space="preserve"> PAGE  \* MERGEFORMAT </w:instrText>
                </w:r>
                <w:r>
                  <w:rPr>
                    <w:rFonts w:ascii="宋体" w:hAnsi="宋体" w:cs="??"/>
                    <w:sz w:val="24"/>
                    <w:szCs w:val="24"/>
                  </w:rPr>
                  <w:fldChar w:fldCharType="separate"/>
                </w:r>
                <w:r>
                  <w:rPr>
                    <w:rFonts w:ascii="宋体" w:hAnsi="宋体" w:cs="??"/>
                    <w:sz w:val="24"/>
                    <w:szCs w:val="24"/>
                  </w:rPr>
                  <w:t>2</w:t>
                </w:r>
                <w:r>
                  <w:rPr>
                    <w:rFonts w:ascii="宋体" w:hAnsi="宋体" w:cs="??"/>
                    <w:sz w:val="24"/>
                    <w:szCs w:val="24"/>
                  </w:rPr>
                  <w:fldChar w:fldCharType="end"/>
                </w:r>
                <w:r>
                  <w:rPr>
                    <w:rFonts w:ascii="宋体" w:hAnsi="宋体" w:cs="??"/>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QzZDU4MmVkODRkMTVkMzMwYTRlNjVlODM3NTg2OWMifQ=="/>
  </w:docVars>
  <w:rsids>
    <w:rsidRoot w:val="00DB1B3D"/>
    <w:rsid w:val="000328E7"/>
    <w:rsid w:val="0004266C"/>
    <w:rsid w:val="00072AF5"/>
    <w:rsid w:val="000A6BC0"/>
    <w:rsid w:val="000F0A7D"/>
    <w:rsid w:val="00104DAB"/>
    <w:rsid w:val="0017117A"/>
    <w:rsid w:val="0019263A"/>
    <w:rsid w:val="001C217F"/>
    <w:rsid w:val="001C4556"/>
    <w:rsid w:val="001C630E"/>
    <w:rsid w:val="001D24F5"/>
    <w:rsid w:val="001D4B57"/>
    <w:rsid w:val="001E4D0D"/>
    <w:rsid w:val="001E770D"/>
    <w:rsid w:val="001F5246"/>
    <w:rsid w:val="00206CFF"/>
    <w:rsid w:val="00211289"/>
    <w:rsid w:val="00220754"/>
    <w:rsid w:val="00231AC6"/>
    <w:rsid w:val="0023236B"/>
    <w:rsid w:val="002426C5"/>
    <w:rsid w:val="00255FF7"/>
    <w:rsid w:val="00297036"/>
    <w:rsid w:val="002E187F"/>
    <w:rsid w:val="00305CD2"/>
    <w:rsid w:val="00354513"/>
    <w:rsid w:val="00363917"/>
    <w:rsid w:val="003A22E9"/>
    <w:rsid w:val="003A4113"/>
    <w:rsid w:val="003A4CA3"/>
    <w:rsid w:val="003E6CC2"/>
    <w:rsid w:val="00455CB7"/>
    <w:rsid w:val="004745E9"/>
    <w:rsid w:val="004808FD"/>
    <w:rsid w:val="004826A5"/>
    <w:rsid w:val="00494E46"/>
    <w:rsid w:val="004A0A9A"/>
    <w:rsid w:val="004C3C90"/>
    <w:rsid w:val="004E7591"/>
    <w:rsid w:val="00513D05"/>
    <w:rsid w:val="00520F58"/>
    <w:rsid w:val="00590832"/>
    <w:rsid w:val="005A55E5"/>
    <w:rsid w:val="005C2392"/>
    <w:rsid w:val="005C6F24"/>
    <w:rsid w:val="005C71B0"/>
    <w:rsid w:val="005D03ED"/>
    <w:rsid w:val="005F4570"/>
    <w:rsid w:val="0062256F"/>
    <w:rsid w:val="00657E4A"/>
    <w:rsid w:val="0066599E"/>
    <w:rsid w:val="00687D68"/>
    <w:rsid w:val="006B1616"/>
    <w:rsid w:val="007050AF"/>
    <w:rsid w:val="00732F11"/>
    <w:rsid w:val="00737239"/>
    <w:rsid w:val="00780AA4"/>
    <w:rsid w:val="00783FE4"/>
    <w:rsid w:val="0079141E"/>
    <w:rsid w:val="0079179F"/>
    <w:rsid w:val="007A3444"/>
    <w:rsid w:val="007A43FA"/>
    <w:rsid w:val="007B6C76"/>
    <w:rsid w:val="007C490D"/>
    <w:rsid w:val="007D230D"/>
    <w:rsid w:val="00851D07"/>
    <w:rsid w:val="00873387"/>
    <w:rsid w:val="008808FE"/>
    <w:rsid w:val="008A35B7"/>
    <w:rsid w:val="008B0143"/>
    <w:rsid w:val="008D5ECC"/>
    <w:rsid w:val="008D6303"/>
    <w:rsid w:val="008E347F"/>
    <w:rsid w:val="008F7A75"/>
    <w:rsid w:val="00903F6A"/>
    <w:rsid w:val="0092082F"/>
    <w:rsid w:val="0092163D"/>
    <w:rsid w:val="0096444E"/>
    <w:rsid w:val="0098247D"/>
    <w:rsid w:val="009B2F0A"/>
    <w:rsid w:val="009C21BC"/>
    <w:rsid w:val="009C2FAE"/>
    <w:rsid w:val="009D255B"/>
    <w:rsid w:val="009D5309"/>
    <w:rsid w:val="009E630B"/>
    <w:rsid w:val="00A81D5B"/>
    <w:rsid w:val="00A90637"/>
    <w:rsid w:val="00A933F3"/>
    <w:rsid w:val="00AB42EF"/>
    <w:rsid w:val="00AE098F"/>
    <w:rsid w:val="00B040FD"/>
    <w:rsid w:val="00B60C14"/>
    <w:rsid w:val="00B66D2A"/>
    <w:rsid w:val="00BB05BA"/>
    <w:rsid w:val="00BB107A"/>
    <w:rsid w:val="00BC29E4"/>
    <w:rsid w:val="00C4586B"/>
    <w:rsid w:val="00C5649C"/>
    <w:rsid w:val="00C657D1"/>
    <w:rsid w:val="00C741CE"/>
    <w:rsid w:val="00C7794D"/>
    <w:rsid w:val="00C873DE"/>
    <w:rsid w:val="00C9003D"/>
    <w:rsid w:val="00C96941"/>
    <w:rsid w:val="00CC2F3D"/>
    <w:rsid w:val="00CE4EF4"/>
    <w:rsid w:val="00D03875"/>
    <w:rsid w:val="00D07A49"/>
    <w:rsid w:val="00D209BF"/>
    <w:rsid w:val="00D51F08"/>
    <w:rsid w:val="00DB06E3"/>
    <w:rsid w:val="00DB1B3D"/>
    <w:rsid w:val="00DC365C"/>
    <w:rsid w:val="00DC373C"/>
    <w:rsid w:val="00DF072E"/>
    <w:rsid w:val="00DF186B"/>
    <w:rsid w:val="00E11C8C"/>
    <w:rsid w:val="00E12532"/>
    <w:rsid w:val="00E260AF"/>
    <w:rsid w:val="00EA2C2B"/>
    <w:rsid w:val="00EA5FCD"/>
    <w:rsid w:val="00EC5501"/>
    <w:rsid w:val="00EE0D15"/>
    <w:rsid w:val="00EF139E"/>
    <w:rsid w:val="00EF33F7"/>
    <w:rsid w:val="00F406A7"/>
    <w:rsid w:val="00F44D12"/>
    <w:rsid w:val="00FB4A68"/>
    <w:rsid w:val="00FC6915"/>
    <w:rsid w:val="00FC7187"/>
    <w:rsid w:val="00FF1781"/>
    <w:rsid w:val="02C41C22"/>
    <w:rsid w:val="2ED454E7"/>
    <w:rsid w:val="388F29CA"/>
    <w:rsid w:val="38B1092F"/>
    <w:rsid w:val="3ED593DD"/>
    <w:rsid w:val="464F03B9"/>
    <w:rsid w:val="47380157"/>
    <w:rsid w:val="4BEEBC39"/>
    <w:rsid w:val="51EC489B"/>
    <w:rsid w:val="560D76EE"/>
    <w:rsid w:val="5DB37E17"/>
    <w:rsid w:val="5E9F0344"/>
    <w:rsid w:val="5FF64799"/>
    <w:rsid w:val="65096760"/>
    <w:rsid w:val="6B797254"/>
    <w:rsid w:val="7172C241"/>
    <w:rsid w:val="74475A28"/>
    <w:rsid w:val="75DEB65A"/>
    <w:rsid w:val="767561B1"/>
    <w:rsid w:val="7B692068"/>
    <w:rsid w:val="7D3AD1E7"/>
    <w:rsid w:val="7E6B5424"/>
    <w:rsid w:val="7FDF2F4D"/>
    <w:rsid w:val="BFFFA2B9"/>
    <w:rsid w:val="D53768F9"/>
    <w:rsid w:val="F439E869"/>
    <w:rsid w:val="FEB38169"/>
    <w:rsid w:val="FFFF43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ocked="1"/>
    <w:lsdException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locked/>
    <w:uiPriority w:val="99"/>
    <w:pPr>
      <w:spacing w:after="120"/>
    </w:pPr>
  </w:style>
  <w:style w:type="paragraph" w:styleId="3">
    <w:name w:val="footer"/>
    <w:basedOn w:val="1"/>
    <w:link w:val="11"/>
    <w:locked/>
    <w:uiPriority w:val="99"/>
    <w:pPr>
      <w:tabs>
        <w:tab w:val="center" w:pos="4153"/>
        <w:tab w:val="right" w:pos="8306"/>
      </w:tabs>
      <w:snapToGrid w:val="0"/>
      <w:jc w:val="left"/>
    </w:pPr>
    <w:rPr>
      <w:sz w:val="18"/>
    </w:rPr>
  </w:style>
  <w:style w:type="paragraph" w:styleId="4">
    <w:name w:val="header"/>
    <w:basedOn w:val="1"/>
    <w:link w:val="12"/>
    <w:semiHidden/>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iPriority w:val="99"/>
  </w:style>
  <w:style w:type="paragraph" w:styleId="6">
    <w:name w:val="Normal (Web)"/>
    <w:basedOn w:val="1"/>
    <w:uiPriority w:val="99"/>
    <w:pPr>
      <w:spacing w:beforeAutospacing="1" w:afterAutospacing="1"/>
      <w:jc w:val="left"/>
    </w:pPr>
    <w:rPr>
      <w:kern w:val="0"/>
      <w:sz w:val="24"/>
      <w:szCs w:val="24"/>
    </w:rPr>
  </w:style>
  <w:style w:type="table" w:styleId="8">
    <w:name w:val="Table Grid"/>
    <w:basedOn w:val="7"/>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ody Text Char"/>
    <w:basedOn w:val="9"/>
    <w:link w:val="2"/>
    <w:semiHidden/>
    <w:locked/>
    <w:uiPriority w:val="99"/>
    <w:rPr>
      <w:rFonts w:ascii="Times New Roman" w:hAnsi="Times New Roman" w:cs="Times New Roman"/>
      <w:sz w:val="21"/>
      <w:szCs w:val="21"/>
    </w:rPr>
  </w:style>
  <w:style w:type="character" w:customStyle="1" w:styleId="11">
    <w:name w:val="Footer Char"/>
    <w:basedOn w:val="9"/>
    <w:link w:val="3"/>
    <w:semiHidden/>
    <w:locked/>
    <w:uiPriority w:val="99"/>
    <w:rPr>
      <w:rFonts w:ascii="Times New Roman" w:hAnsi="Times New Roman" w:cs="Times New Roman"/>
      <w:sz w:val="18"/>
      <w:szCs w:val="18"/>
    </w:rPr>
  </w:style>
  <w:style w:type="character" w:customStyle="1" w:styleId="12">
    <w:name w:val="Header Char"/>
    <w:basedOn w:val="9"/>
    <w:link w:val="4"/>
    <w:semiHidden/>
    <w:locked/>
    <w:uiPriority w:val="99"/>
    <w:rPr>
      <w:rFonts w:ascii="Times New Roman" w:hAnsi="Times New Roman" w:cs="Times New Roman"/>
      <w:sz w:val="18"/>
      <w:szCs w:val="18"/>
    </w:rPr>
  </w:style>
  <w:style w:type="table" w:customStyle="1" w:styleId="13">
    <w:name w:val="Table Normal1"/>
    <w:semiHidden/>
    <w:uiPriority w:val="99"/>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8"/>
    <customShpInfo spid="_x0000_s1029"/>
    <customShpInfo spid="_x0000_s1027"/>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24</Pages>
  <Words>9508</Words>
  <Characters>9828</Characters>
  <Lines>0</Lines>
  <Paragraphs>0</Paragraphs>
  <TotalTime>68</TotalTime>
  <ScaleCrop>false</ScaleCrop>
  <LinksUpToDate>false</LinksUpToDate>
  <CharactersWithSpaces>10277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2022-08-15T03:37:00Z</dcterms:created>
  <dc:creator>Administrator</dc:creator>
  <cp:lastModifiedBy>zn</cp:lastModifiedBy>
  <cp:lastPrinted>2022-08-31T08:09:00Z</cp:lastPrinted>
  <dcterms:modified xsi:type="dcterms:W3CDTF">2022-12-21T06:26:21Z</dcterms:modified>
  <dc:title>费县妇女儿童工作服务中心</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E9A358A1117546F3A5B815F366E41A8F</vt:lpwstr>
  </property>
</Properties>
</file>